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6"/>
      </w:tblGrid>
      <w:tr w:rsidR="00E87257" w14:paraId="39E54AC7" w14:textId="77777777">
        <w:tc>
          <w:tcPr>
            <w:tcW w:w="9746" w:type="dxa"/>
            <w:shd w:val="clear" w:color="auto" w:fill="E0651F"/>
          </w:tcPr>
          <w:p w14:paraId="3D9E780F" w14:textId="77777777" w:rsidR="00E87257" w:rsidRDefault="00000000">
            <w:pPr>
              <w:spacing w:before="280" w:after="80"/>
              <w:jc w:val="center"/>
            </w:pPr>
            <w:r>
              <w:rPr>
                <w:rFonts w:ascii="Calibri" w:hAnsi="Calibri"/>
                <w:b/>
                <w:color w:val="FFFFFF"/>
              </w:rPr>
              <w:t>BRADFORD VTS TEACHING AIDS</w:t>
            </w:r>
          </w:p>
          <w:p w14:paraId="03709AD0" w14:textId="77777777" w:rsidR="00E87257" w:rsidRPr="007726E8" w:rsidRDefault="00000000">
            <w:pPr>
              <w:spacing w:after="80"/>
              <w:jc w:val="center"/>
              <w:rPr>
                <w:sz w:val="16"/>
                <w:szCs w:val="16"/>
              </w:rPr>
            </w:pPr>
            <w:r w:rsidRPr="007726E8">
              <w:rPr>
                <w:rFonts w:ascii="Calibri" w:hAnsi="Calibri"/>
                <w:b/>
                <w:color w:val="FFFFFF"/>
                <w:sz w:val="48"/>
                <w:szCs w:val="16"/>
              </w:rPr>
              <w:t>Hepatitis B Serology</w:t>
            </w:r>
            <w:r w:rsidRPr="007726E8">
              <w:rPr>
                <w:rFonts w:ascii="Calibri" w:hAnsi="Calibri"/>
                <w:b/>
                <w:color w:val="FFFFFF"/>
                <w:sz w:val="48"/>
                <w:szCs w:val="16"/>
              </w:rPr>
              <w:br/>
              <w:t>Interpretation Guide</w:t>
            </w:r>
          </w:p>
          <w:p w14:paraId="11EFDC5B" w14:textId="77777777" w:rsidR="00E87257" w:rsidRDefault="00000000">
            <w:pPr>
              <w:spacing w:after="280"/>
              <w:jc w:val="center"/>
            </w:pPr>
            <w:r>
              <w:rPr>
                <w:rFonts w:ascii="Calibri" w:hAnsi="Calibri"/>
                <w:i/>
                <w:color w:val="FFE6C8"/>
              </w:rPr>
              <w:t>Quick Reference Card  ·  Bradford VTS  ·  May 2026</w:t>
            </w:r>
          </w:p>
        </w:tc>
      </w:tr>
    </w:tbl>
    <w:p w14:paraId="2C728538" w14:textId="77777777" w:rsidR="00E87257" w:rsidRDefault="00E87257"/>
    <w:p w14:paraId="406D6F6A" w14:textId="77777777" w:rsidR="00E87257" w:rsidRDefault="00000000">
      <w:pPr>
        <w:spacing w:after="160"/>
      </w:pPr>
      <w:r>
        <w:rPr>
          <w:rFonts w:ascii="Calibri" w:hAnsi="Calibri"/>
        </w:rPr>
        <w:t>Hepatitis B serology can be confusing but follows a clear logic once you understand the five key markers. This guide uses the four-antibody/antigen pattern to determine infection status, immunity, and clinical management. Based on UKHSA Green Book Chapter 18 (February 2026) and NICE guidance.</w:t>
      </w:r>
    </w:p>
    <w:p w14:paraId="41580695" w14:textId="77777777" w:rsidR="00E87257" w:rsidRDefault="00000000">
      <w:pPr>
        <w:pBdr>
          <w:bottom w:val="single" w:sz="12" w:space="1" w:color="E0651F"/>
        </w:pBdr>
        <w:spacing w:before="200" w:after="80"/>
      </w:pPr>
      <w:r>
        <w:rPr>
          <w:rFonts w:ascii="Calibri" w:hAnsi="Calibri"/>
          <w:b/>
          <w:color w:val="E0651F"/>
          <w:sz w:val="26"/>
        </w:rPr>
        <w:t>1.  The Five Key Hepatitis B Markers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873"/>
        <w:gridCol w:w="4873"/>
      </w:tblGrid>
      <w:tr w:rsidR="00E87257" w14:paraId="4F833743" w14:textId="77777777">
        <w:tc>
          <w:tcPr>
            <w:tcW w:w="4873" w:type="dxa"/>
            <w:shd w:val="clear" w:color="auto" w:fill="FFF3EC"/>
          </w:tcPr>
          <w:p w14:paraId="69014A22" w14:textId="77777777" w:rsidR="00E87257" w:rsidRDefault="00000000">
            <w:pPr>
              <w:spacing w:before="160"/>
              <w:jc w:val="center"/>
            </w:pPr>
            <w:r>
              <w:rPr>
                <w:rFonts w:ascii="Calibri" w:hAnsi="Calibri"/>
                <w:b/>
                <w:color w:val="E0651F"/>
                <w:sz w:val="26"/>
              </w:rPr>
              <w:t>HBsAg</w:t>
            </w:r>
          </w:p>
          <w:p w14:paraId="7185E98B" w14:textId="77777777" w:rsidR="00E87257" w:rsidRDefault="00000000">
            <w:pPr>
              <w:spacing w:after="160"/>
              <w:jc w:val="center"/>
            </w:pPr>
            <w:r>
              <w:rPr>
                <w:rFonts w:ascii="Calibri" w:hAnsi="Calibri"/>
                <w:i/>
                <w:sz w:val="17"/>
              </w:rPr>
              <w:t>Hepatitis B surface antigen</w:t>
            </w:r>
          </w:p>
        </w:tc>
        <w:tc>
          <w:tcPr>
            <w:tcW w:w="4873" w:type="dxa"/>
          </w:tcPr>
          <w:p w14:paraId="395D689E" w14:textId="77777777" w:rsidR="00E87257" w:rsidRDefault="00000000">
            <w:pPr>
              <w:spacing w:before="120" w:after="120"/>
              <w:ind w:left="170"/>
            </w:pPr>
            <w:r>
              <w:rPr>
                <w:rFonts w:ascii="Calibri" w:hAnsi="Calibri"/>
                <w:sz w:val="21"/>
              </w:rPr>
              <w:t>Protein on the surface of HBV. Detectable in high levels during acute or chronic infection. Its presence confirms the person is currently infected and potentially infectious. Persists &gt;6 months = chronic infection. Used to make the hepatitis B vaccine (recombinant HBsAg).</w:t>
            </w:r>
          </w:p>
        </w:tc>
      </w:tr>
    </w:tbl>
    <w:p w14:paraId="77EBD237" w14:textId="77777777" w:rsidR="00E87257" w:rsidRDefault="00E87257">
      <w:pPr>
        <w:spacing w:after="60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873"/>
        <w:gridCol w:w="4873"/>
      </w:tblGrid>
      <w:tr w:rsidR="00E87257" w14:paraId="2F05E44F" w14:textId="77777777">
        <w:tc>
          <w:tcPr>
            <w:tcW w:w="4873" w:type="dxa"/>
            <w:shd w:val="clear" w:color="auto" w:fill="FFF3EC"/>
          </w:tcPr>
          <w:p w14:paraId="2CEC6FC2" w14:textId="77777777" w:rsidR="00E87257" w:rsidRDefault="00000000">
            <w:pPr>
              <w:spacing w:before="160"/>
              <w:jc w:val="center"/>
            </w:pPr>
            <w:r>
              <w:rPr>
                <w:rFonts w:ascii="Calibri" w:hAnsi="Calibri"/>
                <w:b/>
                <w:color w:val="E0651F"/>
                <w:sz w:val="26"/>
              </w:rPr>
              <w:t>anti-HBs</w:t>
            </w:r>
          </w:p>
          <w:p w14:paraId="05882EFC" w14:textId="77777777" w:rsidR="00E87257" w:rsidRDefault="00000000">
            <w:pPr>
              <w:spacing w:after="160"/>
              <w:jc w:val="center"/>
            </w:pPr>
            <w:r>
              <w:rPr>
                <w:rFonts w:ascii="Calibri" w:hAnsi="Calibri"/>
                <w:i/>
                <w:sz w:val="17"/>
              </w:rPr>
              <w:t>Hepatitis B surface antibody</w:t>
            </w:r>
          </w:p>
        </w:tc>
        <w:tc>
          <w:tcPr>
            <w:tcW w:w="4873" w:type="dxa"/>
          </w:tcPr>
          <w:p w14:paraId="547F344A" w14:textId="77777777" w:rsidR="00E87257" w:rsidRDefault="00000000">
            <w:pPr>
              <w:spacing w:before="120" w:after="120"/>
              <w:ind w:left="170"/>
            </w:pPr>
            <w:r>
              <w:rPr>
                <w:rFonts w:ascii="Calibri" w:hAnsi="Calibri"/>
                <w:sz w:val="21"/>
              </w:rPr>
              <w:t>Protective antibody against HBsAg. Indicates immunity — either from vaccination or recovered natural infection. Level ≥10 mIU/mL = protective. Check levels in healthcare workers 1–2 months after completing primary course.</w:t>
            </w:r>
          </w:p>
        </w:tc>
      </w:tr>
    </w:tbl>
    <w:p w14:paraId="101473FB" w14:textId="77777777" w:rsidR="00E87257" w:rsidRDefault="00E87257">
      <w:pPr>
        <w:spacing w:after="60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873"/>
        <w:gridCol w:w="4873"/>
      </w:tblGrid>
      <w:tr w:rsidR="00E87257" w14:paraId="0FCE1CE4" w14:textId="77777777">
        <w:tc>
          <w:tcPr>
            <w:tcW w:w="4873" w:type="dxa"/>
            <w:shd w:val="clear" w:color="auto" w:fill="FFF3EC"/>
          </w:tcPr>
          <w:p w14:paraId="7BB23062" w14:textId="77777777" w:rsidR="00E87257" w:rsidRDefault="00000000">
            <w:pPr>
              <w:spacing w:before="160"/>
              <w:jc w:val="center"/>
            </w:pPr>
            <w:r>
              <w:rPr>
                <w:rFonts w:ascii="Calibri" w:hAnsi="Calibri"/>
                <w:b/>
                <w:color w:val="E0651F"/>
                <w:sz w:val="26"/>
              </w:rPr>
              <w:t>anti-HBc (total)</w:t>
            </w:r>
          </w:p>
          <w:p w14:paraId="7DF71563" w14:textId="77777777" w:rsidR="00E87257" w:rsidRDefault="00000000">
            <w:pPr>
              <w:spacing w:after="160"/>
              <w:jc w:val="center"/>
            </w:pPr>
            <w:r>
              <w:rPr>
                <w:rFonts w:ascii="Calibri" w:hAnsi="Calibri"/>
                <w:i/>
                <w:sz w:val="17"/>
              </w:rPr>
              <w:t>Total hepatitis B core antibody</w:t>
            </w:r>
          </w:p>
        </w:tc>
        <w:tc>
          <w:tcPr>
            <w:tcW w:w="4873" w:type="dxa"/>
          </w:tcPr>
          <w:p w14:paraId="0AFC657D" w14:textId="77777777" w:rsidR="00E87257" w:rsidRDefault="00000000">
            <w:pPr>
              <w:spacing w:before="120" w:after="120"/>
              <w:ind w:left="170"/>
            </w:pPr>
            <w:r>
              <w:rPr>
                <w:rFonts w:ascii="Calibri" w:hAnsi="Calibri"/>
                <w:sz w:val="21"/>
              </w:rPr>
              <w:t>Appears at onset of acute hepatitis B and persists for life. Indicates previous or current infection in an unspecified timeframe. NOT produced in response to vaccination — presence always means prior natural exposure.</w:t>
            </w:r>
          </w:p>
        </w:tc>
      </w:tr>
    </w:tbl>
    <w:p w14:paraId="71371E4F" w14:textId="77777777" w:rsidR="00E87257" w:rsidRDefault="00E87257">
      <w:pPr>
        <w:spacing w:after="60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873"/>
        <w:gridCol w:w="4873"/>
      </w:tblGrid>
      <w:tr w:rsidR="00E87257" w14:paraId="4C3023CA" w14:textId="77777777">
        <w:tc>
          <w:tcPr>
            <w:tcW w:w="4873" w:type="dxa"/>
            <w:shd w:val="clear" w:color="auto" w:fill="FFF3EC"/>
          </w:tcPr>
          <w:p w14:paraId="6A92A17A" w14:textId="77777777" w:rsidR="00E87257" w:rsidRDefault="00000000">
            <w:pPr>
              <w:spacing w:before="160"/>
              <w:jc w:val="center"/>
            </w:pPr>
            <w:r>
              <w:rPr>
                <w:rFonts w:ascii="Calibri" w:hAnsi="Calibri"/>
                <w:b/>
                <w:color w:val="E0651F"/>
                <w:sz w:val="26"/>
              </w:rPr>
              <w:t>IgM anti-HBc</w:t>
            </w:r>
          </w:p>
          <w:p w14:paraId="1649AB00" w14:textId="77777777" w:rsidR="00E87257" w:rsidRDefault="00000000">
            <w:pPr>
              <w:spacing w:after="160"/>
              <w:jc w:val="center"/>
            </w:pPr>
            <w:r>
              <w:rPr>
                <w:rFonts w:ascii="Calibri" w:hAnsi="Calibri"/>
                <w:i/>
                <w:sz w:val="17"/>
              </w:rPr>
              <w:t>IgM antibody to hepatitis B core antigen</w:t>
            </w:r>
          </w:p>
        </w:tc>
        <w:tc>
          <w:tcPr>
            <w:tcW w:w="4873" w:type="dxa"/>
          </w:tcPr>
          <w:p w14:paraId="2331E523" w14:textId="77777777" w:rsidR="00E87257" w:rsidRDefault="00000000">
            <w:pPr>
              <w:spacing w:before="120" w:after="120"/>
              <w:ind w:left="170"/>
            </w:pPr>
            <w:r>
              <w:rPr>
                <w:rFonts w:ascii="Calibri" w:hAnsi="Calibri"/>
                <w:sz w:val="21"/>
              </w:rPr>
              <w:t>Positivity indicates RECENT infection (&lt;6 months). Marker of acute infection. Also transiently rises during flares of chronic hepatitis B.</w:t>
            </w:r>
          </w:p>
        </w:tc>
      </w:tr>
    </w:tbl>
    <w:p w14:paraId="6DD9DF6F" w14:textId="77777777" w:rsidR="00E87257" w:rsidRDefault="00E87257">
      <w:pPr>
        <w:spacing w:after="60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873"/>
        <w:gridCol w:w="4873"/>
      </w:tblGrid>
      <w:tr w:rsidR="00E87257" w14:paraId="4D8B0682" w14:textId="77777777">
        <w:tc>
          <w:tcPr>
            <w:tcW w:w="4873" w:type="dxa"/>
            <w:shd w:val="clear" w:color="auto" w:fill="FFF3EC"/>
          </w:tcPr>
          <w:p w14:paraId="5A5DAA78" w14:textId="77777777" w:rsidR="00E87257" w:rsidRDefault="00000000">
            <w:pPr>
              <w:spacing w:before="160"/>
              <w:jc w:val="center"/>
            </w:pPr>
            <w:r>
              <w:rPr>
                <w:rFonts w:ascii="Calibri" w:hAnsi="Calibri"/>
                <w:b/>
                <w:color w:val="E0651F"/>
                <w:sz w:val="26"/>
              </w:rPr>
              <w:t>HBeAg / anti-HBe</w:t>
            </w:r>
          </w:p>
          <w:p w14:paraId="5661B541" w14:textId="77777777" w:rsidR="00E87257" w:rsidRDefault="00000000">
            <w:pPr>
              <w:spacing w:after="160"/>
              <w:jc w:val="center"/>
            </w:pPr>
            <w:r>
              <w:rPr>
                <w:rFonts w:ascii="Calibri" w:hAnsi="Calibri"/>
                <w:i/>
                <w:sz w:val="17"/>
              </w:rPr>
              <w:t>Hepatitis B e antigen / antibody</w:t>
            </w:r>
          </w:p>
        </w:tc>
        <w:tc>
          <w:tcPr>
            <w:tcW w:w="4873" w:type="dxa"/>
          </w:tcPr>
          <w:p w14:paraId="7D735B85" w14:textId="77777777" w:rsidR="00E87257" w:rsidRDefault="00000000">
            <w:pPr>
              <w:spacing w:before="120" w:after="120"/>
              <w:ind w:left="170"/>
            </w:pPr>
            <w:r>
              <w:rPr>
                <w:rFonts w:ascii="Calibri" w:hAnsi="Calibri"/>
                <w:sz w:val="21"/>
              </w:rPr>
              <w:t>HBeAg: marker of active viral replication → high infectivity. Anti-HBe: seroconversion from HBeAg indicates reduced (but not zero) infectivity. HBeAg-negative chronic infection still occurs and can be severe.</w:t>
            </w:r>
          </w:p>
        </w:tc>
      </w:tr>
    </w:tbl>
    <w:p w14:paraId="6985998B" w14:textId="77777777" w:rsidR="00E87257" w:rsidRDefault="00E87257">
      <w:pPr>
        <w:spacing w:after="60"/>
      </w:pPr>
    </w:p>
    <w:p w14:paraId="45604E0D" w14:textId="77777777" w:rsidR="00E87257" w:rsidRDefault="00000000">
      <w:pPr>
        <w:pBdr>
          <w:bottom w:val="single" w:sz="12" w:space="1" w:color="E0651F"/>
        </w:pBdr>
        <w:spacing w:before="200" w:after="80"/>
      </w:pPr>
      <w:r>
        <w:rPr>
          <w:rFonts w:ascii="Calibri" w:hAnsi="Calibri"/>
          <w:b/>
          <w:color w:val="E0651F"/>
          <w:sz w:val="26"/>
        </w:rPr>
        <w:t>2.  Interpretation of Hepatitis B Serological Patterns</w:t>
      </w:r>
    </w:p>
    <w:p w14:paraId="1A9F196C" w14:textId="77777777" w:rsidR="00E87257" w:rsidRDefault="00000000">
      <w:pPr>
        <w:spacing w:after="120"/>
      </w:pPr>
      <w:r>
        <w:rPr>
          <w:rFonts w:ascii="Calibri" w:hAnsi="Calibri"/>
          <w:i/>
          <w:sz w:val="20"/>
        </w:rPr>
        <w:t>Based on UKHSA Green Book Hepatitis B Chapter (February 2026) and WHO/UK SMI guidance. This replaces the older CDC (USA) chart which used different reference ranges.</w:t>
      </w:r>
    </w:p>
    <w:tbl>
      <w:tblPr>
        <w:tblStyle w:val="TableGrid"/>
        <w:tblW w:w="10173" w:type="dxa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992"/>
        <w:gridCol w:w="993"/>
        <w:gridCol w:w="2976"/>
        <w:gridCol w:w="3261"/>
      </w:tblGrid>
      <w:tr w:rsidR="00E87257" w14:paraId="37300AAD" w14:textId="77777777" w:rsidTr="007726E8">
        <w:tc>
          <w:tcPr>
            <w:tcW w:w="959" w:type="dxa"/>
            <w:shd w:val="clear" w:color="auto" w:fill="E0651F"/>
          </w:tcPr>
          <w:p w14:paraId="649F0FC3" w14:textId="77777777" w:rsidR="00E87257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HBsAg</w:t>
            </w:r>
          </w:p>
        </w:tc>
        <w:tc>
          <w:tcPr>
            <w:tcW w:w="992" w:type="dxa"/>
            <w:shd w:val="clear" w:color="auto" w:fill="E0651F"/>
          </w:tcPr>
          <w:p w14:paraId="452C8947" w14:textId="77777777" w:rsidR="00E87257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anti-HBc</w:t>
            </w:r>
          </w:p>
        </w:tc>
        <w:tc>
          <w:tcPr>
            <w:tcW w:w="992" w:type="dxa"/>
            <w:shd w:val="clear" w:color="auto" w:fill="E0651F"/>
          </w:tcPr>
          <w:p w14:paraId="589B2FAD" w14:textId="77777777" w:rsidR="00E87257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IgM anti-HBc</w:t>
            </w:r>
          </w:p>
        </w:tc>
        <w:tc>
          <w:tcPr>
            <w:tcW w:w="993" w:type="dxa"/>
            <w:shd w:val="clear" w:color="auto" w:fill="E0651F"/>
          </w:tcPr>
          <w:p w14:paraId="5480D33E" w14:textId="77777777" w:rsidR="00E87257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anti-HBs</w:t>
            </w:r>
          </w:p>
        </w:tc>
        <w:tc>
          <w:tcPr>
            <w:tcW w:w="2976" w:type="dxa"/>
            <w:shd w:val="clear" w:color="auto" w:fill="E0651F"/>
          </w:tcPr>
          <w:p w14:paraId="6D34D1BB" w14:textId="77777777" w:rsidR="00E87257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Interpretation</w:t>
            </w:r>
          </w:p>
        </w:tc>
        <w:tc>
          <w:tcPr>
            <w:tcW w:w="3261" w:type="dxa"/>
            <w:shd w:val="clear" w:color="auto" w:fill="E0651F"/>
          </w:tcPr>
          <w:p w14:paraId="1E5ED577" w14:textId="77777777" w:rsidR="00E87257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Clinical Action</w:t>
            </w:r>
          </w:p>
        </w:tc>
      </w:tr>
      <w:tr w:rsidR="00E87257" w14:paraId="046E6A6C" w14:textId="77777777" w:rsidTr="007726E8">
        <w:tc>
          <w:tcPr>
            <w:tcW w:w="959" w:type="dxa"/>
            <w:shd w:val="clear" w:color="auto" w:fill="F9F9F9"/>
          </w:tcPr>
          <w:p w14:paraId="49165D86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992" w:type="dxa"/>
            <w:shd w:val="clear" w:color="auto" w:fill="F9F9F9"/>
          </w:tcPr>
          <w:p w14:paraId="7A0EACE0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992" w:type="dxa"/>
            <w:shd w:val="clear" w:color="auto" w:fill="F9F9F9"/>
          </w:tcPr>
          <w:p w14:paraId="200B0D5B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993" w:type="dxa"/>
            <w:shd w:val="clear" w:color="auto" w:fill="F9F9F9"/>
          </w:tcPr>
          <w:p w14:paraId="630C18D3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2976" w:type="dxa"/>
            <w:shd w:val="clear" w:color="auto" w:fill="F9F9F9"/>
          </w:tcPr>
          <w:p w14:paraId="62213C67" w14:textId="77777777" w:rsidR="00E87257" w:rsidRDefault="00000000">
            <w:pPr>
              <w:spacing w:before="80" w:after="80"/>
              <w:ind w:left="85"/>
            </w:pPr>
            <w:r>
              <w:rPr>
                <w:rFonts w:ascii="Calibri" w:hAnsi="Calibri"/>
                <w:b/>
                <w:sz w:val="19"/>
              </w:rPr>
              <w:t>❶  Susceptible</w:t>
            </w:r>
            <w:r>
              <w:rPr>
                <w:rFonts w:ascii="Calibri" w:hAnsi="Calibri"/>
                <w:b/>
                <w:sz w:val="19"/>
              </w:rPr>
              <w:br/>
              <w:t>(No prior exposure; not vaccinated)</w:t>
            </w:r>
          </w:p>
        </w:tc>
        <w:tc>
          <w:tcPr>
            <w:tcW w:w="3261" w:type="dxa"/>
            <w:shd w:val="clear" w:color="auto" w:fill="F9F9F9"/>
          </w:tcPr>
          <w:p w14:paraId="30172EE2" w14:textId="77777777" w:rsidR="00E87257" w:rsidRDefault="00000000">
            <w:pPr>
              <w:spacing w:before="80" w:after="80"/>
              <w:ind w:left="85"/>
            </w:pPr>
            <w:r>
              <w:rPr>
                <w:rFonts w:ascii="Calibri" w:hAnsi="Calibri"/>
                <w:sz w:val="19"/>
              </w:rPr>
              <w:t>Offer hepatitis B vaccination if in a risk group (see below). Document as susceptible.</w:t>
            </w:r>
          </w:p>
        </w:tc>
      </w:tr>
      <w:tr w:rsidR="00E87257" w14:paraId="16439E01" w14:textId="77777777" w:rsidTr="007726E8">
        <w:tc>
          <w:tcPr>
            <w:tcW w:w="959" w:type="dxa"/>
            <w:shd w:val="clear" w:color="auto" w:fill="EAF7EC"/>
          </w:tcPr>
          <w:p w14:paraId="1AF56E4E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992" w:type="dxa"/>
            <w:shd w:val="clear" w:color="auto" w:fill="EAF7EC"/>
          </w:tcPr>
          <w:p w14:paraId="54955B3C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992" w:type="dxa"/>
            <w:shd w:val="clear" w:color="auto" w:fill="EAF7EC"/>
          </w:tcPr>
          <w:p w14:paraId="00D9EFC8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993" w:type="dxa"/>
            <w:shd w:val="clear" w:color="auto" w:fill="EAF7EC"/>
          </w:tcPr>
          <w:p w14:paraId="43D07D1C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C00000"/>
                <w:sz w:val="24"/>
              </w:rPr>
              <w:t>+</w:t>
            </w:r>
          </w:p>
        </w:tc>
        <w:tc>
          <w:tcPr>
            <w:tcW w:w="2976" w:type="dxa"/>
            <w:shd w:val="clear" w:color="auto" w:fill="EAF7EC"/>
          </w:tcPr>
          <w:p w14:paraId="305C7085" w14:textId="77777777" w:rsidR="00E87257" w:rsidRDefault="00000000">
            <w:pPr>
              <w:spacing w:before="80" w:after="80"/>
              <w:ind w:left="85"/>
            </w:pPr>
            <w:r>
              <w:rPr>
                <w:rFonts w:ascii="Calibri" w:hAnsi="Calibri"/>
                <w:b/>
                <w:sz w:val="19"/>
              </w:rPr>
              <w:t>❷  Immune — vaccination</w:t>
            </w:r>
            <w:r>
              <w:rPr>
                <w:rFonts w:ascii="Calibri" w:hAnsi="Calibri"/>
                <w:b/>
                <w:sz w:val="19"/>
              </w:rPr>
              <w:br/>
              <w:t>(Protective anti-HBs from vaccine)</w:t>
            </w:r>
          </w:p>
        </w:tc>
        <w:tc>
          <w:tcPr>
            <w:tcW w:w="3261" w:type="dxa"/>
            <w:shd w:val="clear" w:color="auto" w:fill="EAF7EC"/>
          </w:tcPr>
          <w:p w14:paraId="655558FC" w14:textId="77777777" w:rsidR="00E87257" w:rsidRDefault="00000000">
            <w:pPr>
              <w:spacing w:before="80" w:after="80"/>
              <w:ind w:left="85"/>
            </w:pPr>
            <w:r>
              <w:rPr>
                <w:rFonts w:ascii="Calibri" w:hAnsi="Calibri"/>
                <w:sz w:val="19"/>
              </w:rPr>
              <w:t>No further action needed if anti-HBs ≥10 mIU/mL. For HCWs, check level 1–2 months post-primary course.</w:t>
            </w:r>
          </w:p>
        </w:tc>
      </w:tr>
      <w:tr w:rsidR="00E87257" w14:paraId="4D1FA9AF" w14:textId="77777777" w:rsidTr="007726E8">
        <w:tc>
          <w:tcPr>
            <w:tcW w:w="959" w:type="dxa"/>
            <w:shd w:val="clear" w:color="auto" w:fill="EAF7EC"/>
          </w:tcPr>
          <w:p w14:paraId="3B1159C4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992" w:type="dxa"/>
            <w:shd w:val="clear" w:color="auto" w:fill="EAF7EC"/>
          </w:tcPr>
          <w:p w14:paraId="23AD8008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C00000"/>
                <w:sz w:val="24"/>
              </w:rPr>
              <w:t>+</w:t>
            </w:r>
          </w:p>
        </w:tc>
        <w:tc>
          <w:tcPr>
            <w:tcW w:w="992" w:type="dxa"/>
            <w:shd w:val="clear" w:color="auto" w:fill="EAF7EC"/>
          </w:tcPr>
          <w:p w14:paraId="521585DA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993" w:type="dxa"/>
            <w:shd w:val="clear" w:color="auto" w:fill="EAF7EC"/>
          </w:tcPr>
          <w:p w14:paraId="1EBCD8F5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C00000"/>
                <w:sz w:val="24"/>
              </w:rPr>
              <w:t>+</w:t>
            </w:r>
          </w:p>
        </w:tc>
        <w:tc>
          <w:tcPr>
            <w:tcW w:w="2976" w:type="dxa"/>
            <w:shd w:val="clear" w:color="auto" w:fill="EAF7EC"/>
          </w:tcPr>
          <w:p w14:paraId="4DDC03E6" w14:textId="77777777" w:rsidR="00E87257" w:rsidRDefault="00000000">
            <w:pPr>
              <w:spacing w:before="80" w:after="80"/>
              <w:ind w:left="85"/>
            </w:pPr>
            <w:r>
              <w:rPr>
                <w:rFonts w:ascii="Calibri" w:hAnsi="Calibri"/>
                <w:b/>
                <w:sz w:val="19"/>
              </w:rPr>
              <w:t>❸  Immune — natural infection</w:t>
            </w:r>
            <w:r>
              <w:rPr>
                <w:rFonts w:ascii="Calibri" w:hAnsi="Calibri"/>
                <w:b/>
                <w:sz w:val="19"/>
              </w:rPr>
              <w:br/>
              <w:t>(Resolved infection; immunity established)</w:t>
            </w:r>
          </w:p>
        </w:tc>
        <w:tc>
          <w:tcPr>
            <w:tcW w:w="3261" w:type="dxa"/>
            <w:shd w:val="clear" w:color="auto" w:fill="EAF7EC"/>
          </w:tcPr>
          <w:p w14:paraId="0C8E60AE" w14:textId="77777777" w:rsidR="00E87257" w:rsidRDefault="00000000">
            <w:pPr>
              <w:spacing w:before="80" w:after="80"/>
              <w:ind w:left="85"/>
            </w:pPr>
            <w:r>
              <w:rPr>
                <w:rFonts w:ascii="Calibri" w:hAnsi="Calibri"/>
                <w:sz w:val="19"/>
              </w:rPr>
              <w:t>No treatment needed. Document. No further vaccination required.</w:t>
            </w:r>
          </w:p>
        </w:tc>
      </w:tr>
      <w:tr w:rsidR="00E87257" w14:paraId="346C2EC5" w14:textId="77777777" w:rsidTr="007726E8">
        <w:tc>
          <w:tcPr>
            <w:tcW w:w="959" w:type="dxa"/>
            <w:shd w:val="clear" w:color="auto" w:fill="FFF0E0"/>
          </w:tcPr>
          <w:p w14:paraId="52BD7A6F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C00000"/>
                <w:sz w:val="24"/>
              </w:rPr>
              <w:t>+</w:t>
            </w:r>
          </w:p>
        </w:tc>
        <w:tc>
          <w:tcPr>
            <w:tcW w:w="992" w:type="dxa"/>
            <w:shd w:val="clear" w:color="auto" w:fill="FFF0E0"/>
          </w:tcPr>
          <w:p w14:paraId="4A0EE8B0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C00000"/>
                <w:sz w:val="24"/>
              </w:rPr>
              <w:t>+</w:t>
            </w:r>
          </w:p>
        </w:tc>
        <w:tc>
          <w:tcPr>
            <w:tcW w:w="992" w:type="dxa"/>
            <w:shd w:val="clear" w:color="auto" w:fill="FFF0E0"/>
          </w:tcPr>
          <w:p w14:paraId="39018526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C00000"/>
                <w:sz w:val="24"/>
              </w:rPr>
              <w:t>+</w:t>
            </w:r>
          </w:p>
        </w:tc>
        <w:tc>
          <w:tcPr>
            <w:tcW w:w="993" w:type="dxa"/>
            <w:shd w:val="clear" w:color="auto" w:fill="FFF0E0"/>
          </w:tcPr>
          <w:p w14:paraId="0A5DDB26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2976" w:type="dxa"/>
            <w:shd w:val="clear" w:color="auto" w:fill="FFF0E0"/>
          </w:tcPr>
          <w:p w14:paraId="4DACFA33" w14:textId="77777777" w:rsidR="00E87257" w:rsidRDefault="00000000">
            <w:pPr>
              <w:spacing w:before="80" w:after="80"/>
              <w:ind w:left="85"/>
            </w:pPr>
            <w:r>
              <w:rPr>
                <w:rFonts w:ascii="Calibri" w:hAnsi="Calibri"/>
                <w:b/>
                <w:sz w:val="19"/>
              </w:rPr>
              <w:t>❹  Acute infection</w:t>
            </w:r>
            <w:r>
              <w:rPr>
                <w:rFonts w:ascii="Calibri" w:hAnsi="Calibri"/>
                <w:b/>
                <w:sz w:val="19"/>
              </w:rPr>
              <w:br/>
              <w:t>(IgM anti-HBc positive = recent, &lt;6 months)</w:t>
            </w:r>
          </w:p>
        </w:tc>
        <w:tc>
          <w:tcPr>
            <w:tcW w:w="3261" w:type="dxa"/>
            <w:shd w:val="clear" w:color="auto" w:fill="FFF0E0"/>
          </w:tcPr>
          <w:p w14:paraId="0007559E" w14:textId="77777777" w:rsidR="00E87257" w:rsidRDefault="00000000">
            <w:pPr>
              <w:spacing w:before="80" w:after="80"/>
              <w:ind w:left="85"/>
            </w:pPr>
            <w:r>
              <w:rPr>
                <w:rFonts w:ascii="Calibri" w:hAnsi="Calibri"/>
                <w:sz w:val="19"/>
              </w:rPr>
              <w:t>Refer to hepatology/GUM. Notify public health. Contact tracing. Test for HIV/HCV. Repeat HBsAg at 6 months.</w:t>
            </w:r>
          </w:p>
        </w:tc>
      </w:tr>
      <w:tr w:rsidR="00E87257" w14:paraId="6FCBBA03" w14:textId="77777777" w:rsidTr="007726E8">
        <w:tc>
          <w:tcPr>
            <w:tcW w:w="959" w:type="dxa"/>
            <w:shd w:val="clear" w:color="auto" w:fill="FFE8E8"/>
          </w:tcPr>
          <w:p w14:paraId="354B0107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C00000"/>
                <w:sz w:val="24"/>
              </w:rPr>
              <w:t>+</w:t>
            </w:r>
          </w:p>
        </w:tc>
        <w:tc>
          <w:tcPr>
            <w:tcW w:w="992" w:type="dxa"/>
            <w:shd w:val="clear" w:color="auto" w:fill="FFE8E8"/>
          </w:tcPr>
          <w:p w14:paraId="19733945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C00000"/>
                <w:sz w:val="24"/>
              </w:rPr>
              <w:t>+</w:t>
            </w:r>
          </w:p>
        </w:tc>
        <w:tc>
          <w:tcPr>
            <w:tcW w:w="992" w:type="dxa"/>
            <w:shd w:val="clear" w:color="auto" w:fill="FFE8E8"/>
          </w:tcPr>
          <w:p w14:paraId="7468C9BB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993" w:type="dxa"/>
            <w:shd w:val="clear" w:color="auto" w:fill="FFE8E8"/>
          </w:tcPr>
          <w:p w14:paraId="730FF794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2976" w:type="dxa"/>
            <w:shd w:val="clear" w:color="auto" w:fill="FFE8E8"/>
          </w:tcPr>
          <w:p w14:paraId="4699D14A" w14:textId="77777777" w:rsidR="00E87257" w:rsidRDefault="00000000">
            <w:pPr>
              <w:spacing w:before="80" w:after="80"/>
              <w:ind w:left="85"/>
            </w:pPr>
            <w:r>
              <w:rPr>
                <w:rFonts w:ascii="Calibri" w:hAnsi="Calibri"/>
                <w:b/>
                <w:sz w:val="19"/>
              </w:rPr>
              <w:t>❺  Chronic infection</w:t>
            </w:r>
            <w:r>
              <w:rPr>
                <w:rFonts w:ascii="Calibri" w:hAnsi="Calibri"/>
                <w:b/>
                <w:sz w:val="19"/>
              </w:rPr>
              <w:br/>
              <w:t>(HBsAg persists &gt;6 months)</w:t>
            </w:r>
          </w:p>
        </w:tc>
        <w:tc>
          <w:tcPr>
            <w:tcW w:w="3261" w:type="dxa"/>
            <w:shd w:val="clear" w:color="auto" w:fill="FFE8E8"/>
          </w:tcPr>
          <w:p w14:paraId="15FEECB6" w14:textId="77777777" w:rsidR="00E87257" w:rsidRDefault="00000000">
            <w:pPr>
              <w:spacing w:before="80" w:after="80"/>
              <w:ind w:left="85"/>
            </w:pPr>
            <w:r>
              <w:rPr>
                <w:rFonts w:ascii="Calibri" w:hAnsi="Calibri"/>
                <w:sz w:val="19"/>
              </w:rPr>
              <w:t>Refer to hepatology. Screen for cirrhosis/HCC. Contact tracing. Screen household/sexual contacts.</w:t>
            </w:r>
          </w:p>
        </w:tc>
      </w:tr>
      <w:tr w:rsidR="00E87257" w14:paraId="2253EF9E" w14:textId="77777777" w:rsidTr="007726E8">
        <w:tc>
          <w:tcPr>
            <w:tcW w:w="959" w:type="dxa"/>
            <w:shd w:val="clear" w:color="auto" w:fill="FFF8E8"/>
          </w:tcPr>
          <w:p w14:paraId="75ABF242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992" w:type="dxa"/>
            <w:shd w:val="clear" w:color="auto" w:fill="FFF8E8"/>
          </w:tcPr>
          <w:p w14:paraId="6079C0D7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C00000"/>
                <w:sz w:val="24"/>
              </w:rPr>
              <w:t>+</w:t>
            </w:r>
          </w:p>
        </w:tc>
        <w:tc>
          <w:tcPr>
            <w:tcW w:w="992" w:type="dxa"/>
            <w:shd w:val="clear" w:color="auto" w:fill="FFF8E8"/>
          </w:tcPr>
          <w:p w14:paraId="39E7E37A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993" w:type="dxa"/>
            <w:shd w:val="clear" w:color="auto" w:fill="FFF8E8"/>
          </w:tcPr>
          <w:p w14:paraId="100EA454" w14:textId="77777777" w:rsidR="00E87257" w:rsidRDefault="00000000">
            <w:pPr>
              <w:spacing w:before="80" w:after="80"/>
              <w:ind w:left="85"/>
              <w:jc w:val="center"/>
            </w:pPr>
            <w:r>
              <w:rPr>
                <w:rFonts w:ascii="Calibri" w:hAnsi="Calibri"/>
                <w:b/>
                <w:color w:val="404040"/>
                <w:sz w:val="24"/>
              </w:rPr>
              <w:t>–</w:t>
            </w:r>
          </w:p>
        </w:tc>
        <w:tc>
          <w:tcPr>
            <w:tcW w:w="2976" w:type="dxa"/>
            <w:shd w:val="clear" w:color="auto" w:fill="FFF8E8"/>
          </w:tcPr>
          <w:p w14:paraId="1CC2D84D" w14:textId="77777777" w:rsidR="00E87257" w:rsidRDefault="00000000">
            <w:pPr>
              <w:spacing w:before="80" w:after="80"/>
              <w:ind w:left="85"/>
            </w:pPr>
            <w:r>
              <w:rPr>
                <w:rFonts w:ascii="Calibri" w:hAnsi="Calibri"/>
                <w:b/>
                <w:sz w:val="19"/>
              </w:rPr>
              <w:t>❻  Indeterminate (4 possible interpretations):</w:t>
            </w:r>
            <w:r>
              <w:rPr>
                <w:rFonts w:ascii="Calibri" w:hAnsi="Calibri"/>
                <w:b/>
                <w:sz w:val="19"/>
              </w:rPr>
              <w:br/>
              <w:t>1. Resolved infection (most common)</w:t>
            </w:r>
            <w:r>
              <w:rPr>
                <w:rFonts w:ascii="Calibri" w:hAnsi="Calibri"/>
                <w:b/>
                <w:sz w:val="19"/>
              </w:rPr>
              <w:br/>
              <w:t>2. False-positive anti-HBc → susceptible</w:t>
            </w:r>
            <w:r>
              <w:rPr>
                <w:rFonts w:ascii="Calibri" w:hAnsi="Calibri"/>
                <w:b/>
                <w:sz w:val="19"/>
              </w:rPr>
              <w:br/>
              <w:t>3. Low-level chronic infection</w:t>
            </w:r>
            <w:r>
              <w:rPr>
                <w:rFonts w:ascii="Calibri" w:hAnsi="Calibri"/>
                <w:b/>
                <w:sz w:val="19"/>
              </w:rPr>
              <w:br/>
              <w:t>4. Resolving acute infection</w:t>
            </w:r>
          </w:p>
        </w:tc>
        <w:tc>
          <w:tcPr>
            <w:tcW w:w="3261" w:type="dxa"/>
            <w:shd w:val="clear" w:color="auto" w:fill="FFF8E8"/>
          </w:tcPr>
          <w:p w14:paraId="79F0B4C5" w14:textId="77777777" w:rsidR="00E87257" w:rsidRDefault="00000000">
            <w:pPr>
              <w:spacing w:before="80" w:after="80"/>
              <w:ind w:left="85"/>
            </w:pPr>
            <w:r>
              <w:rPr>
                <w:rFonts w:ascii="Calibri" w:hAnsi="Calibri"/>
                <w:sz w:val="19"/>
              </w:rPr>
              <w:t>Repeat serology in 6–8 weeks. If high-risk context or immunosuppressed, refer to specialist. May need HBV DNA testing.</w:t>
            </w:r>
          </w:p>
        </w:tc>
      </w:tr>
    </w:tbl>
    <w:p w14:paraId="091C323B" w14:textId="77777777" w:rsidR="00E87257" w:rsidRDefault="00E87257"/>
    <w:p w14:paraId="19BFACE5" w14:textId="77777777" w:rsidR="00E87257" w:rsidRDefault="00000000">
      <w:pPr>
        <w:pBdr>
          <w:bottom w:val="single" w:sz="12" w:space="1" w:color="E0651F"/>
        </w:pBdr>
        <w:spacing w:before="200" w:after="80"/>
      </w:pPr>
      <w:r>
        <w:rPr>
          <w:rFonts w:ascii="Calibri" w:hAnsi="Calibri"/>
          <w:b/>
          <w:color w:val="E0651F"/>
          <w:sz w:val="26"/>
        </w:rPr>
        <w:t>3.  Hepatitis B Vaccination — UK Schedules (Green Book Feb 2026)</w:t>
      </w:r>
    </w:p>
    <w:p w14:paraId="69588E27" w14:textId="77777777" w:rsidR="00E87257" w:rsidRDefault="00000000">
      <w:pPr>
        <w:pStyle w:val="ListBullet"/>
        <w:spacing w:after="60"/>
      </w:pPr>
      <w:r>
        <w:rPr>
          <w:rFonts w:ascii="Calibri" w:hAnsi="Calibri"/>
          <w:b/>
          <w:sz w:val="21"/>
        </w:rPr>
        <w:t xml:space="preserve">Routine infant programme: </w:t>
      </w:r>
      <w:r>
        <w:rPr>
          <w:rFonts w:ascii="Calibri" w:hAnsi="Calibri"/>
          <w:sz w:val="21"/>
        </w:rPr>
        <w:t>DTaP/IPV/Hib/HepB at 8, 12, 16 weeks + 18-month booster (for children born 1 July 2024 onwards)</w:t>
      </w:r>
    </w:p>
    <w:p w14:paraId="05525A85" w14:textId="77777777" w:rsidR="00E87257" w:rsidRDefault="00000000">
      <w:pPr>
        <w:pStyle w:val="ListBullet"/>
        <w:spacing w:after="60"/>
      </w:pPr>
      <w:r>
        <w:rPr>
          <w:rFonts w:ascii="Calibri" w:hAnsi="Calibri"/>
          <w:b/>
          <w:sz w:val="21"/>
        </w:rPr>
        <w:t xml:space="preserve">Standard pre-exposure (adult): </w:t>
      </w:r>
      <w:r>
        <w:rPr>
          <w:rFonts w:ascii="Calibri" w:hAnsi="Calibri"/>
          <w:sz w:val="21"/>
        </w:rPr>
        <w:t>0, 1, 6 months — when no rapid protection urgency and compliance likely</w:t>
      </w:r>
    </w:p>
    <w:p w14:paraId="43674674" w14:textId="77777777" w:rsidR="00E87257" w:rsidRDefault="00000000">
      <w:pPr>
        <w:pStyle w:val="ListBullet"/>
        <w:spacing w:after="60"/>
      </w:pPr>
      <w:r>
        <w:rPr>
          <w:rFonts w:ascii="Calibri" w:hAnsi="Calibri"/>
          <w:b/>
          <w:sz w:val="21"/>
        </w:rPr>
        <w:t xml:space="preserve">Accelerated (common in GP): </w:t>
      </w:r>
      <w:r>
        <w:rPr>
          <w:rFonts w:ascii="Calibri" w:hAnsi="Calibri"/>
          <w:sz w:val="21"/>
        </w:rPr>
        <w:t>0, 1, 2 months + 12-month booster — used for pre/post-exposure; higher early compliance</w:t>
      </w:r>
    </w:p>
    <w:p w14:paraId="6C06BB70" w14:textId="77777777" w:rsidR="00E87257" w:rsidRDefault="00000000">
      <w:pPr>
        <w:pStyle w:val="ListBullet"/>
        <w:spacing w:after="60"/>
      </w:pPr>
      <w:r>
        <w:rPr>
          <w:rFonts w:ascii="Calibri" w:hAnsi="Calibri"/>
          <w:b/>
          <w:sz w:val="21"/>
        </w:rPr>
        <w:t xml:space="preserve">Very rapid (travellers, PWID, prison): </w:t>
      </w:r>
      <w:r>
        <w:rPr>
          <w:rFonts w:ascii="Calibri" w:hAnsi="Calibri"/>
          <w:sz w:val="21"/>
        </w:rPr>
        <w:t>0, 7, 21 days + booster at 12 months — licensed for adults ≥18 years</w:t>
      </w:r>
    </w:p>
    <w:p w14:paraId="595195B9" w14:textId="77777777" w:rsidR="00E87257" w:rsidRDefault="00000000">
      <w:pPr>
        <w:pStyle w:val="ListBullet"/>
        <w:spacing w:after="60"/>
      </w:pPr>
      <w:r>
        <w:rPr>
          <w:rFonts w:ascii="Calibri" w:hAnsi="Calibri"/>
          <w:b/>
          <w:sz w:val="21"/>
        </w:rPr>
        <w:t xml:space="preserve">Renal insufficiency (CKD 4–5): </w:t>
      </w:r>
      <w:r>
        <w:rPr>
          <w:rFonts w:ascii="Calibri" w:hAnsi="Calibri"/>
          <w:sz w:val="21"/>
        </w:rPr>
        <w:t>Fendrix® 0, 1, 2, 6 months OR HEPLISAV-B® 0, 1, 2, 4 months (severe renal impairment)</w:t>
      </w:r>
    </w:p>
    <w:p w14:paraId="29E9B28D" w14:textId="77777777" w:rsidR="00E87257" w:rsidRDefault="00000000">
      <w:pPr>
        <w:pStyle w:val="ListBullet"/>
        <w:spacing w:after="60"/>
      </w:pPr>
      <w:r>
        <w:rPr>
          <w:rFonts w:ascii="Calibri" w:hAnsi="Calibri"/>
          <w:b/>
          <w:sz w:val="21"/>
        </w:rPr>
        <w:t xml:space="preserve">Children 11–15 years: </w:t>
      </w:r>
      <w:r>
        <w:rPr>
          <w:rFonts w:ascii="Calibri" w:hAnsi="Calibri"/>
          <w:sz w:val="21"/>
        </w:rPr>
        <w:t>Two-dose schedule: Engerix-B® 20mcg at 0 and 6 months</w:t>
      </w:r>
    </w:p>
    <w:p w14:paraId="0573849F" w14:textId="77777777" w:rsidR="00E87257" w:rsidRDefault="00000000">
      <w:pPr>
        <w:pStyle w:val="ListBullet"/>
        <w:spacing w:after="60"/>
      </w:pPr>
      <w:r>
        <w:rPr>
          <w:rFonts w:ascii="Calibri" w:hAnsi="Calibri"/>
          <w:b/>
          <w:sz w:val="21"/>
        </w:rPr>
        <w:t xml:space="preserve">Post-exposure: </w:t>
      </w:r>
      <w:r>
        <w:rPr>
          <w:rFonts w:ascii="Calibri" w:hAnsi="Calibri"/>
          <w:sz w:val="21"/>
        </w:rPr>
        <w:t>Accelerated schedule + HBIG if indicated (see below). Ideally within 24 hours, up to 7 days</w:t>
      </w:r>
    </w:p>
    <w:p w14:paraId="3BB3807C" w14:textId="77777777" w:rsidR="00E87257" w:rsidRDefault="00E87257"/>
    <w:p w14:paraId="5F2F76FE" w14:textId="77777777" w:rsidR="007726E8" w:rsidRDefault="007726E8">
      <w:pPr>
        <w:rPr>
          <w:rFonts w:ascii="Calibri" w:hAnsi="Calibri"/>
          <w:b/>
          <w:color w:val="E0651F"/>
          <w:sz w:val="26"/>
        </w:rPr>
      </w:pPr>
      <w:r>
        <w:rPr>
          <w:rFonts w:ascii="Calibri" w:hAnsi="Calibri"/>
          <w:b/>
          <w:color w:val="E0651F"/>
          <w:sz w:val="26"/>
        </w:rPr>
        <w:br w:type="page"/>
      </w:r>
    </w:p>
    <w:p w14:paraId="7054DBC7" w14:textId="68E61E90" w:rsidR="00E87257" w:rsidRDefault="00000000">
      <w:pPr>
        <w:pBdr>
          <w:bottom w:val="single" w:sz="12" w:space="1" w:color="E0651F"/>
        </w:pBdr>
        <w:spacing w:before="200" w:after="80"/>
      </w:pPr>
      <w:r>
        <w:rPr>
          <w:rFonts w:ascii="Calibri" w:hAnsi="Calibri"/>
          <w:b/>
          <w:color w:val="E0651F"/>
          <w:sz w:val="26"/>
        </w:rPr>
        <w:lastRenderedPageBreak/>
        <w:t>4</w:t>
      </w:r>
      <w:proofErr w:type="gramStart"/>
      <w:r>
        <w:rPr>
          <w:rFonts w:ascii="Calibri" w:hAnsi="Calibri"/>
          <w:b/>
          <w:color w:val="E0651F"/>
          <w:sz w:val="26"/>
        </w:rPr>
        <w:t>.  Who</w:t>
      </w:r>
      <w:proofErr w:type="gramEnd"/>
      <w:r>
        <w:rPr>
          <w:rFonts w:ascii="Calibri" w:hAnsi="Calibri"/>
          <w:b/>
          <w:color w:val="E0651F"/>
          <w:sz w:val="26"/>
        </w:rPr>
        <w:t xml:space="preserve"> to Vaccinate? — High-Risk Groups in UK GP Practice</w:t>
      </w:r>
    </w:p>
    <w:p w14:paraId="02804D1E" w14:textId="77777777" w:rsidR="00E87257" w:rsidRDefault="00000000">
      <w:pPr>
        <w:pStyle w:val="ListBullet"/>
        <w:spacing w:after="40"/>
      </w:pPr>
      <w:r>
        <w:rPr>
          <w:rFonts w:ascii="Calibri" w:hAnsi="Calibri"/>
          <w:sz w:val="21"/>
        </w:rPr>
        <w:t>People who inject drugs (PWID) — and close household/sexual contacts</w:t>
      </w:r>
    </w:p>
    <w:p w14:paraId="0F1B3A10" w14:textId="77777777" w:rsidR="00E87257" w:rsidRDefault="00000000">
      <w:pPr>
        <w:pStyle w:val="ListBullet"/>
        <w:spacing w:after="40"/>
      </w:pPr>
      <w:r>
        <w:rPr>
          <w:rFonts w:ascii="Calibri" w:hAnsi="Calibri"/>
          <w:sz w:val="21"/>
        </w:rPr>
        <w:t>Gay, bisexual and other men who have sex with men (GBMSM)</w:t>
      </w:r>
    </w:p>
    <w:p w14:paraId="228F3A34" w14:textId="77777777" w:rsidR="00E87257" w:rsidRDefault="00000000">
      <w:pPr>
        <w:pStyle w:val="ListBullet"/>
        <w:spacing w:after="40"/>
      </w:pPr>
      <w:r>
        <w:rPr>
          <w:rFonts w:ascii="Calibri" w:hAnsi="Calibri"/>
          <w:sz w:val="21"/>
        </w:rPr>
        <w:t>Sex workers</w:t>
      </w:r>
    </w:p>
    <w:p w14:paraId="6BB8A4D2" w14:textId="77777777" w:rsidR="00E87257" w:rsidRDefault="00000000">
      <w:pPr>
        <w:pStyle w:val="ListBullet"/>
        <w:spacing w:after="40"/>
      </w:pPr>
      <w:r>
        <w:rPr>
          <w:rFonts w:ascii="Calibri" w:hAnsi="Calibri"/>
          <w:sz w:val="21"/>
        </w:rPr>
        <w:t>Household and sexual contacts of HBsAg-positive individuals</w:t>
      </w:r>
    </w:p>
    <w:p w14:paraId="2597F484" w14:textId="77777777" w:rsidR="00E87257" w:rsidRDefault="00000000">
      <w:pPr>
        <w:pStyle w:val="ListBullet"/>
        <w:spacing w:after="40"/>
      </w:pPr>
      <w:r>
        <w:rPr>
          <w:rFonts w:ascii="Calibri" w:hAnsi="Calibri"/>
          <w:sz w:val="21"/>
        </w:rPr>
        <w:t>Infants born to HBsAg-positive mothers (with HBIG if HBeAg-positive mother)</w:t>
      </w:r>
    </w:p>
    <w:p w14:paraId="518C38E7" w14:textId="77777777" w:rsidR="00E87257" w:rsidRDefault="00000000">
      <w:pPr>
        <w:pStyle w:val="ListBullet"/>
        <w:spacing w:after="40"/>
      </w:pPr>
      <w:r>
        <w:rPr>
          <w:rFonts w:ascii="Calibri" w:hAnsi="Calibri"/>
          <w:sz w:val="21"/>
        </w:rPr>
        <w:t>People receiving regular blood products (haemophilia, thalassaemia)</w:t>
      </w:r>
    </w:p>
    <w:p w14:paraId="0B6FE4AA" w14:textId="77777777" w:rsidR="00E87257" w:rsidRDefault="00000000">
      <w:pPr>
        <w:pStyle w:val="ListBullet"/>
        <w:spacing w:after="40"/>
      </w:pPr>
      <w:r>
        <w:rPr>
          <w:rFonts w:ascii="Calibri" w:hAnsi="Calibri"/>
          <w:sz w:val="21"/>
        </w:rPr>
        <w:t>Chronic kidney disease (CKD stages 4–5, including haemodialysis patients)</w:t>
      </w:r>
    </w:p>
    <w:p w14:paraId="5EA41311" w14:textId="77777777" w:rsidR="00E87257" w:rsidRDefault="00000000">
      <w:pPr>
        <w:pStyle w:val="ListBullet"/>
        <w:spacing w:after="40"/>
      </w:pPr>
      <w:r>
        <w:rPr>
          <w:rFonts w:ascii="Calibri" w:hAnsi="Calibri"/>
          <w:sz w:val="21"/>
        </w:rPr>
        <w:t>Chronic liver disease (especially those with hepatitis C)</w:t>
      </w:r>
    </w:p>
    <w:p w14:paraId="577C4DB0" w14:textId="77777777" w:rsidR="00E87257" w:rsidRDefault="00000000">
      <w:pPr>
        <w:pStyle w:val="ListBullet"/>
        <w:spacing w:after="40"/>
      </w:pPr>
      <w:r>
        <w:rPr>
          <w:rFonts w:ascii="Calibri" w:hAnsi="Calibri"/>
          <w:sz w:val="21"/>
        </w:rPr>
        <w:t>Solid organ transplant recipients (pre-transplant)</w:t>
      </w:r>
    </w:p>
    <w:p w14:paraId="56BD42F6" w14:textId="77777777" w:rsidR="00E87257" w:rsidRDefault="00000000">
      <w:pPr>
        <w:pStyle w:val="ListBullet"/>
        <w:spacing w:after="40"/>
      </w:pPr>
      <w:r>
        <w:rPr>
          <w:rFonts w:ascii="Calibri" w:hAnsi="Calibri"/>
          <w:sz w:val="21"/>
        </w:rPr>
        <w:t>Travellers to high-endemicity areas with risk activities</w:t>
      </w:r>
    </w:p>
    <w:p w14:paraId="35BEB208" w14:textId="77777777" w:rsidR="00E87257" w:rsidRDefault="00000000">
      <w:pPr>
        <w:pStyle w:val="ListBullet"/>
        <w:spacing w:after="40"/>
      </w:pPr>
      <w:r>
        <w:rPr>
          <w:rFonts w:ascii="Calibri" w:hAnsi="Calibri"/>
          <w:sz w:val="21"/>
        </w:rPr>
        <w:t>Healthcare workers with exposure risk</w:t>
      </w:r>
    </w:p>
    <w:p w14:paraId="6FC0AE80" w14:textId="77777777" w:rsidR="00E87257" w:rsidRDefault="00000000">
      <w:pPr>
        <w:pStyle w:val="ListBullet"/>
        <w:spacing w:after="40"/>
      </w:pPr>
      <w:r>
        <w:rPr>
          <w:rFonts w:ascii="Calibri" w:hAnsi="Calibri"/>
          <w:sz w:val="21"/>
        </w:rPr>
        <w:t>Prison/detained individuals (all new entrants in UK prisons)</w:t>
      </w:r>
    </w:p>
    <w:p w14:paraId="4DF35D49" w14:textId="77777777" w:rsidR="00E87257" w:rsidRDefault="00000000">
      <w:pPr>
        <w:pStyle w:val="ListBullet"/>
        <w:spacing w:after="40"/>
      </w:pPr>
      <w:r>
        <w:rPr>
          <w:rFonts w:ascii="Calibri" w:hAnsi="Calibri"/>
          <w:sz w:val="21"/>
        </w:rPr>
        <w:t>Adopting families bringing children from high-endemicity countries</w:t>
      </w:r>
    </w:p>
    <w:p w14:paraId="0C4E8BDF" w14:textId="77777777" w:rsidR="00E87257" w:rsidRDefault="00E87257"/>
    <w:p w14:paraId="3C588F07" w14:textId="77777777" w:rsidR="00E87257" w:rsidRDefault="00000000">
      <w:pPr>
        <w:pBdr>
          <w:bottom w:val="single" w:sz="12" w:space="1" w:color="E0651F"/>
        </w:pBdr>
        <w:spacing w:before="200" w:after="80"/>
      </w:pPr>
      <w:r>
        <w:rPr>
          <w:rFonts w:ascii="Calibri" w:hAnsi="Calibri"/>
          <w:b/>
          <w:color w:val="E0651F"/>
          <w:sz w:val="26"/>
        </w:rPr>
        <w:t>5.  Post-Exposure Management (Needlestick / Sexual Exposure)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873"/>
        <w:gridCol w:w="4873"/>
      </w:tblGrid>
      <w:tr w:rsidR="00E87257" w14:paraId="6C707FE8" w14:textId="77777777">
        <w:tc>
          <w:tcPr>
            <w:tcW w:w="4873" w:type="dxa"/>
            <w:shd w:val="clear" w:color="auto" w:fill="E8F4FF"/>
          </w:tcPr>
          <w:p w14:paraId="2C73CF0B" w14:textId="77777777" w:rsidR="00E87257" w:rsidRDefault="00000000">
            <w:pPr>
              <w:spacing w:before="80"/>
              <w:jc w:val="center"/>
            </w:pPr>
            <w:r>
              <w:rPr>
                <w:rFonts w:ascii="Calibri" w:hAnsi="Calibri"/>
                <w:b/>
                <w:color w:val="1A5C9A"/>
              </w:rPr>
              <w:t>Step 1</w:t>
            </w:r>
          </w:p>
        </w:tc>
        <w:tc>
          <w:tcPr>
            <w:tcW w:w="4873" w:type="dxa"/>
            <w:shd w:val="clear" w:color="auto" w:fill="E8F4FF"/>
          </w:tcPr>
          <w:p w14:paraId="71DAA81E" w14:textId="77777777" w:rsidR="00E87257" w:rsidRDefault="00000000">
            <w:pPr>
              <w:spacing w:before="80" w:after="80"/>
              <w:ind w:left="170"/>
            </w:pPr>
            <w:r>
              <w:rPr>
                <w:rFonts w:ascii="Calibri" w:hAnsi="Calibri"/>
                <w:sz w:val="21"/>
              </w:rPr>
              <w:t>Wash area immediately with soap and water (do not scrub). For eye/mouth exposure, irrigate with water.</w:t>
            </w:r>
          </w:p>
        </w:tc>
      </w:tr>
      <w:tr w:rsidR="00E87257" w14:paraId="22056568" w14:textId="77777777">
        <w:tc>
          <w:tcPr>
            <w:tcW w:w="4873" w:type="dxa"/>
            <w:shd w:val="clear" w:color="auto" w:fill="E8F4FF"/>
          </w:tcPr>
          <w:p w14:paraId="32E7CE9C" w14:textId="77777777" w:rsidR="00E87257" w:rsidRDefault="00000000">
            <w:pPr>
              <w:spacing w:before="80"/>
              <w:jc w:val="center"/>
            </w:pPr>
            <w:r>
              <w:rPr>
                <w:rFonts w:ascii="Calibri" w:hAnsi="Calibri"/>
                <w:b/>
                <w:color w:val="1A5C9A"/>
              </w:rPr>
              <w:t>Step 2</w:t>
            </w:r>
          </w:p>
        </w:tc>
        <w:tc>
          <w:tcPr>
            <w:tcW w:w="4873" w:type="dxa"/>
            <w:shd w:val="clear" w:color="auto" w:fill="E8F4FF"/>
          </w:tcPr>
          <w:p w14:paraId="01EDFCBC" w14:textId="77777777" w:rsidR="00E87257" w:rsidRDefault="00000000">
            <w:pPr>
              <w:spacing w:before="80" w:after="80"/>
              <w:ind w:left="170"/>
            </w:pPr>
            <w:r>
              <w:rPr>
                <w:rFonts w:ascii="Calibri" w:hAnsi="Calibri"/>
                <w:sz w:val="21"/>
              </w:rPr>
              <w:t>Seek urgent occupational health or A&amp;E assessment within hours.</w:t>
            </w:r>
          </w:p>
        </w:tc>
      </w:tr>
      <w:tr w:rsidR="00E87257" w14:paraId="43C8DD87" w14:textId="77777777">
        <w:tc>
          <w:tcPr>
            <w:tcW w:w="4873" w:type="dxa"/>
            <w:shd w:val="clear" w:color="auto" w:fill="E8F4FF"/>
          </w:tcPr>
          <w:p w14:paraId="44100799" w14:textId="77777777" w:rsidR="00E87257" w:rsidRDefault="00000000">
            <w:pPr>
              <w:spacing w:before="80"/>
              <w:jc w:val="center"/>
            </w:pPr>
            <w:r>
              <w:rPr>
                <w:rFonts w:ascii="Calibri" w:hAnsi="Calibri"/>
                <w:b/>
                <w:color w:val="1A5C9A"/>
              </w:rPr>
              <w:t>Step 3</w:t>
            </w:r>
          </w:p>
        </w:tc>
        <w:tc>
          <w:tcPr>
            <w:tcW w:w="4873" w:type="dxa"/>
            <w:shd w:val="clear" w:color="auto" w:fill="E8F4FF"/>
          </w:tcPr>
          <w:p w14:paraId="360047A2" w14:textId="77777777" w:rsidR="00E87257" w:rsidRDefault="00000000">
            <w:pPr>
              <w:spacing w:before="80" w:after="80"/>
              <w:ind w:left="170"/>
            </w:pPr>
            <w:r>
              <w:rPr>
                <w:rFonts w:ascii="Calibri" w:hAnsi="Calibri"/>
                <w:sz w:val="21"/>
              </w:rPr>
              <w:t>Test source patient (with consent) for HBsAg, HIV, HCV. Test exposed person for baseline serology.</w:t>
            </w:r>
          </w:p>
        </w:tc>
      </w:tr>
      <w:tr w:rsidR="00E87257" w14:paraId="40C7E7BC" w14:textId="77777777">
        <w:tc>
          <w:tcPr>
            <w:tcW w:w="4873" w:type="dxa"/>
            <w:shd w:val="clear" w:color="auto" w:fill="E8F4FF"/>
          </w:tcPr>
          <w:p w14:paraId="0BE76F6B" w14:textId="77777777" w:rsidR="00E87257" w:rsidRDefault="00000000">
            <w:pPr>
              <w:spacing w:before="80"/>
              <w:jc w:val="center"/>
            </w:pPr>
            <w:r>
              <w:rPr>
                <w:rFonts w:ascii="Calibri" w:hAnsi="Calibri"/>
                <w:b/>
                <w:color w:val="1A5C9A"/>
              </w:rPr>
              <w:t>Step 4</w:t>
            </w:r>
          </w:p>
        </w:tc>
        <w:tc>
          <w:tcPr>
            <w:tcW w:w="4873" w:type="dxa"/>
            <w:shd w:val="clear" w:color="auto" w:fill="E8F4FF"/>
          </w:tcPr>
          <w:p w14:paraId="48AA1A83" w14:textId="77777777" w:rsidR="00E87257" w:rsidRDefault="00000000">
            <w:pPr>
              <w:spacing w:before="80" w:after="80"/>
              <w:ind w:left="170"/>
            </w:pPr>
            <w:r>
              <w:rPr>
                <w:rFonts w:ascii="Calibri" w:hAnsi="Calibri"/>
                <w:sz w:val="21"/>
              </w:rPr>
              <w:t>If source is HBsAg-positive (or unknown high-risk):</w:t>
            </w:r>
            <w:r>
              <w:rPr>
                <w:rFonts w:ascii="Calibri" w:hAnsi="Calibri"/>
                <w:sz w:val="21"/>
              </w:rPr>
              <w:br/>
              <w:t>→ Unvaccinated / known non-responder: Give HepB vaccine + HBIG (different sites) within 24 hours (up to 7 days)</w:t>
            </w:r>
            <w:r>
              <w:rPr>
                <w:rFonts w:ascii="Calibri" w:hAnsi="Calibri"/>
                <w:sz w:val="21"/>
              </w:rPr>
              <w:br/>
              <w:t>→ Vaccinated with anti-HBs ≥10 mIU/mL: Reassurance only</w:t>
            </w:r>
            <w:r>
              <w:rPr>
                <w:rFonts w:ascii="Calibri" w:hAnsi="Calibri"/>
                <w:sz w:val="21"/>
              </w:rPr>
              <w:br/>
              <w:t>→ Vaccinated with anti-HBs &lt;10 mIU/mL: Booster dose + HBIG</w:t>
            </w:r>
          </w:p>
        </w:tc>
      </w:tr>
      <w:tr w:rsidR="00E87257" w14:paraId="2A94FF57" w14:textId="77777777">
        <w:tc>
          <w:tcPr>
            <w:tcW w:w="4873" w:type="dxa"/>
            <w:shd w:val="clear" w:color="auto" w:fill="E8F4FF"/>
          </w:tcPr>
          <w:p w14:paraId="5011F076" w14:textId="77777777" w:rsidR="00E87257" w:rsidRDefault="00000000">
            <w:pPr>
              <w:spacing w:before="80"/>
              <w:jc w:val="center"/>
            </w:pPr>
            <w:r>
              <w:rPr>
                <w:rFonts w:ascii="Calibri" w:hAnsi="Calibri"/>
                <w:b/>
                <w:color w:val="1A5C9A"/>
              </w:rPr>
              <w:t>Step 5</w:t>
            </w:r>
          </w:p>
        </w:tc>
        <w:tc>
          <w:tcPr>
            <w:tcW w:w="4873" w:type="dxa"/>
            <w:shd w:val="clear" w:color="auto" w:fill="E8F4FF"/>
          </w:tcPr>
          <w:p w14:paraId="5B42BE8D" w14:textId="77777777" w:rsidR="00E87257" w:rsidRDefault="00000000">
            <w:pPr>
              <w:spacing w:before="80" w:after="80"/>
              <w:ind w:left="170"/>
            </w:pPr>
            <w:r>
              <w:rPr>
                <w:rFonts w:ascii="Calibri" w:hAnsi="Calibri"/>
                <w:sz w:val="21"/>
              </w:rPr>
              <w:t>Follow up: repeat HBsAg at 6 months post-exposure to exclude chronic infection.</w:t>
            </w:r>
          </w:p>
        </w:tc>
      </w:tr>
      <w:tr w:rsidR="00E87257" w14:paraId="683F8C3F" w14:textId="77777777">
        <w:tc>
          <w:tcPr>
            <w:tcW w:w="4873" w:type="dxa"/>
            <w:shd w:val="clear" w:color="auto" w:fill="FFF8E8"/>
          </w:tcPr>
          <w:p w14:paraId="31147776" w14:textId="77777777" w:rsidR="00E87257" w:rsidRDefault="00000000">
            <w:pPr>
              <w:spacing w:before="80"/>
              <w:jc w:val="center"/>
            </w:pPr>
            <w:r>
              <w:rPr>
                <w:rFonts w:ascii="Calibri" w:hAnsi="Calibri"/>
                <w:b/>
                <w:color w:val="1A5C9A"/>
              </w:rPr>
              <w:t>HBIG</w:t>
            </w:r>
          </w:p>
        </w:tc>
        <w:tc>
          <w:tcPr>
            <w:tcW w:w="4873" w:type="dxa"/>
            <w:shd w:val="clear" w:color="auto" w:fill="FFF8E8"/>
          </w:tcPr>
          <w:p w14:paraId="7937AEF3" w14:textId="77777777" w:rsidR="00E87257" w:rsidRDefault="00000000">
            <w:pPr>
              <w:spacing w:before="80" w:after="80"/>
              <w:ind w:left="170"/>
            </w:pPr>
            <w:r>
              <w:rPr>
                <w:rFonts w:ascii="Calibri" w:hAnsi="Calibri"/>
                <w:sz w:val="21"/>
              </w:rPr>
              <w:t>Hepatitis B immunoglobulin — provides immediate passive immunity. Held centrally by UKHSA. Request via on-call microbiologist or occupational health. Must be given with vaccine (separate site).</w:t>
            </w:r>
          </w:p>
        </w:tc>
      </w:tr>
    </w:tbl>
    <w:p w14:paraId="68F44359" w14:textId="77777777" w:rsidR="00E87257" w:rsidRDefault="00E87257"/>
    <w:p w14:paraId="5D1DC1A7" w14:textId="77777777" w:rsidR="007726E8" w:rsidRDefault="007726E8">
      <w:pPr>
        <w:rPr>
          <w:rFonts w:ascii="Calibri" w:hAnsi="Calibri"/>
          <w:b/>
          <w:color w:val="E0651F"/>
          <w:sz w:val="26"/>
        </w:rPr>
      </w:pPr>
      <w:r>
        <w:rPr>
          <w:rFonts w:ascii="Calibri" w:hAnsi="Calibri"/>
          <w:b/>
          <w:color w:val="E0651F"/>
          <w:sz w:val="26"/>
        </w:rPr>
        <w:br w:type="page"/>
      </w:r>
    </w:p>
    <w:p w14:paraId="7DC88DD6" w14:textId="3AF4D1B4" w:rsidR="00E87257" w:rsidRDefault="00000000">
      <w:pPr>
        <w:pBdr>
          <w:bottom w:val="single" w:sz="12" w:space="1" w:color="E0651F"/>
        </w:pBdr>
        <w:spacing w:before="200" w:after="80"/>
      </w:pPr>
      <w:r>
        <w:rPr>
          <w:rFonts w:ascii="Calibri" w:hAnsi="Calibri"/>
          <w:b/>
          <w:color w:val="E0651F"/>
          <w:sz w:val="26"/>
        </w:rPr>
        <w:lastRenderedPageBreak/>
        <w:t>6.  Immunity Testing After Vaccination — Who to Test?</w:t>
      </w: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2376"/>
        <w:gridCol w:w="2694"/>
        <w:gridCol w:w="5244"/>
      </w:tblGrid>
      <w:tr w:rsidR="00E87257" w14:paraId="571EA75A" w14:textId="77777777" w:rsidTr="007726E8">
        <w:tc>
          <w:tcPr>
            <w:tcW w:w="2376" w:type="dxa"/>
            <w:shd w:val="clear" w:color="auto" w:fill="E0651F"/>
          </w:tcPr>
          <w:p w14:paraId="11F64926" w14:textId="77777777" w:rsidR="00E87257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Group</w:t>
            </w:r>
          </w:p>
        </w:tc>
        <w:tc>
          <w:tcPr>
            <w:tcW w:w="2694" w:type="dxa"/>
            <w:shd w:val="clear" w:color="auto" w:fill="E0651F"/>
          </w:tcPr>
          <w:p w14:paraId="3060FAC4" w14:textId="77777777" w:rsidR="00E87257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anti-HBs Result</w:t>
            </w:r>
          </w:p>
        </w:tc>
        <w:tc>
          <w:tcPr>
            <w:tcW w:w="5244" w:type="dxa"/>
            <w:shd w:val="clear" w:color="auto" w:fill="E0651F"/>
          </w:tcPr>
          <w:p w14:paraId="13810161" w14:textId="77777777" w:rsidR="00E87257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Action</w:t>
            </w:r>
          </w:p>
        </w:tc>
      </w:tr>
      <w:tr w:rsidR="00E87257" w14:paraId="00E18B69" w14:textId="77777777" w:rsidTr="007726E8">
        <w:tc>
          <w:tcPr>
            <w:tcW w:w="2376" w:type="dxa"/>
            <w:shd w:val="clear" w:color="auto" w:fill="F9F9F9"/>
          </w:tcPr>
          <w:p w14:paraId="4E06FB9D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sz w:val="20"/>
              </w:rPr>
              <w:t>Healthcare workers &amp;</w:t>
            </w:r>
            <w:r>
              <w:rPr>
                <w:rFonts w:ascii="Calibri" w:hAnsi="Calibri"/>
                <w:sz w:val="20"/>
              </w:rPr>
              <w:br/>
              <w:t>laboratory staff</w:t>
            </w:r>
          </w:p>
        </w:tc>
        <w:tc>
          <w:tcPr>
            <w:tcW w:w="2694" w:type="dxa"/>
            <w:shd w:val="clear" w:color="auto" w:fill="F9F9F9"/>
          </w:tcPr>
          <w:p w14:paraId="7CEFA0A8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b/>
                <w:sz w:val="20"/>
              </w:rPr>
              <w:t>≥100 mIU/mL</w:t>
            </w:r>
          </w:p>
        </w:tc>
        <w:tc>
          <w:tcPr>
            <w:tcW w:w="5244" w:type="dxa"/>
            <w:shd w:val="clear" w:color="auto" w:fill="F9F9F9"/>
          </w:tcPr>
          <w:p w14:paraId="0FF33915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sz w:val="20"/>
              </w:rPr>
              <w:t>No further doses or testing needed</w:t>
            </w:r>
          </w:p>
        </w:tc>
      </w:tr>
      <w:tr w:rsidR="00E87257" w14:paraId="049FB2AD" w14:textId="77777777" w:rsidTr="007726E8">
        <w:tc>
          <w:tcPr>
            <w:tcW w:w="2376" w:type="dxa"/>
            <w:shd w:val="clear" w:color="auto" w:fill="EAF7EC"/>
          </w:tcPr>
          <w:p w14:paraId="67ADF822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sz w:val="20"/>
              </w:rPr>
              <w:t>Healthcare workers &amp;</w:t>
            </w:r>
            <w:r>
              <w:rPr>
                <w:rFonts w:ascii="Calibri" w:hAnsi="Calibri"/>
                <w:sz w:val="20"/>
              </w:rPr>
              <w:br/>
              <w:t>laboratory staff</w:t>
            </w:r>
          </w:p>
        </w:tc>
        <w:tc>
          <w:tcPr>
            <w:tcW w:w="2694" w:type="dxa"/>
            <w:shd w:val="clear" w:color="auto" w:fill="EAF7EC"/>
          </w:tcPr>
          <w:p w14:paraId="18152B03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b/>
                <w:sz w:val="20"/>
              </w:rPr>
              <w:t>10–100 mIU/mL</w:t>
            </w:r>
          </w:p>
        </w:tc>
        <w:tc>
          <w:tcPr>
            <w:tcW w:w="5244" w:type="dxa"/>
            <w:shd w:val="clear" w:color="auto" w:fill="EAF7EC"/>
          </w:tcPr>
          <w:p w14:paraId="7F1FDE4A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sz w:val="20"/>
              </w:rPr>
              <w:t>Give ONE booster dose; no further testing</w:t>
            </w:r>
          </w:p>
        </w:tc>
      </w:tr>
      <w:tr w:rsidR="00E87257" w14:paraId="5042571C" w14:textId="77777777" w:rsidTr="007726E8">
        <w:tc>
          <w:tcPr>
            <w:tcW w:w="2376" w:type="dxa"/>
            <w:shd w:val="clear" w:color="auto" w:fill="FFE8E8"/>
          </w:tcPr>
          <w:p w14:paraId="7D9638A3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sz w:val="20"/>
              </w:rPr>
              <w:t>Healthcare workers &amp;</w:t>
            </w:r>
            <w:r>
              <w:rPr>
                <w:rFonts w:ascii="Calibri" w:hAnsi="Calibri"/>
                <w:sz w:val="20"/>
              </w:rPr>
              <w:br/>
              <w:t>laboratory staff</w:t>
            </w:r>
          </w:p>
        </w:tc>
        <w:tc>
          <w:tcPr>
            <w:tcW w:w="2694" w:type="dxa"/>
            <w:shd w:val="clear" w:color="auto" w:fill="FFE8E8"/>
          </w:tcPr>
          <w:p w14:paraId="0707C259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b/>
                <w:sz w:val="20"/>
              </w:rPr>
              <w:t>&lt;10 mIU/mL</w:t>
            </w:r>
          </w:p>
        </w:tc>
        <w:tc>
          <w:tcPr>
            <w:tcW w:w="5244" w:type="dxa"/>
            <w:shd w:val="clear" w:color="auto" w:fill="FFE8E8"/>
          </w:tcPr>
          <w:p w14:paraId="4FB790FF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sz w:val="20"/>
              </w:rPr>
              <w:t>Repeat full primary course; re-test. If still &lt;10 = non-responder → need HBIG for future exposures</w:t>
            </w:r>
          </w:p>
        </w:tc>
      </w:tr>
      <w:tr w:rsidR="00E87257" w14:paraId="5B0CFF2C" w14:textId="77777777" w:rsidTr="007726E8">
        <w:tc>
          <w:tcPr>
            <w:tcW w:w="2376" w:type="dxa"/>
            <w:shd w:val="clear" w:color="auto" w:fill="E8F4FF"/>
          </w:tcPr>
          <w:p w14:paraId="1C14AA29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sz w:val="20"/>
              </w:rPr>
              <w:t>People with kidney failure</w:t>
            </w:r>
            <w:r>
              <w:rPr>
                <w:rFonts w:ascii="Calibri" w:hAnsi="Calibri"/>
                <w:sz w:val="20"/>
              </w:rPr>
              <w:br/>
              <w:t>(annual monitoring)</w:t>
            </w:r>
          </w:p>
        </w:tc>
        <w:tc>
          <w:tcPr>
            <w:tcW w:w="2694" w:type="dxa"/>
            <w:shd w:val="clear" w:color="auto" w:fill="E8F4FF"/>
          </w:tcPr>
          <w:p w14:paraId="5FD0AA54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b/>
                <w:sz w:val="20"/>
              </w:rPr>
              <w:t>&lt;10 mIU/mL at any check</w:t>
            </w:r>
          </w:p>
        </w:tc>
        <w:tc>
          <w:tcPr>
            <w:tcW w:w="5244" w:type="dxa"/>
            <w:shd w:val="clear" w:color="auto" w:fill="E8F4FF"/>
          </w:tcPr>
          <w:p w14:paraId="632344A3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sz w:val="20"/>
              </w:rPr>
              <w:t>Give booster dose; monitor annually</w:t>
            </w:r>
          </w:p>
        </w:tc>
      </w:tr>
      <w:tr w:rsidR="00E87257" w14:paraId="543E2C6C" w14:textId="77777777" w:rsidTr="007726E8">
        <w:tc>
          <w:tcPr>
            <w:tcW w:w="2376" w:type="dxa"/>
            <w:shd w:val="clear" w:color="auto" w:fill="F9F9F9"/>
          </w:tcPr>
          <w:p w14:paraId="1CA632A6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sz w:val="20"/>
              </w:rPr>
              <w:t>Routine population</w:t>
            </w:r>
          </w:p>
        </w:tc>
        <w:tc>
          <w:tcPr>
            <w:tcW w:w="2694" w:type="dxa"/>
            <w:shd w:val="clear" w:color="auto" w:fill="F9F9F9"/>
          </w:tcPr>
          <w:p w14:paraId="2EF1C0DB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b/>
                <w:sz w:val="20"/>
              </w:rPr>
              <w:t>Not tested routinely</w:t>
            </w:r>
          </w:p>
        </w:tc>
        <w:tc>
          <w:tcPr>
            <w:tcW w:w="5244" w:type="dxa"/>
            <w:shd w:val="clear" w:color="auto" w:fill="F9F9F9"/>
          </w:tcPr>
          <w:p w14:paraId="0B804E07" w14:textId="77777777" w:rsidR="00E87257" w:rsidRDefault="00000000">
            <w:pPr>
              <w:spacing w:before="80" w:after="80"/>
              <w:ind w:left="113"/>
            </w:pPr>
            <w:r>
              <w:rPr>
                <w:rFonts w:ascii="Calibri" w:hAnsi="Calibri"/>
                <w:sz w:val="20"/>
              </w:rPr>
              <w:t>No post-vaccination testing recommended for general population</w:t>
            </w:r>
          </w:p>
        </w:tc>
      </w:tr>
    </w:tbl>
    <w:p w14:paraId="703B08D1" w14:textId="77777777" w:rsidR="00E87257" w:rsidRDefault="00E8725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6"/>
      </w:tblGrid>
      <w:tr w:rsidR="00E87257" w14:paraId="38D83E53" w14:textId="77777777">
        <w:tc>
          <w:tcPr>
            <w:tcW w:w="9746" w:type="dxa"/>
            <w:shd w:val="clear" w:color="auto" w:fill="B22222"/>
          </w:tcPr>
          <w:p w14:paraId="23CE351C" w14:textId="77777777" w:rsidR="00E87257" w:rsidRDefault="00000000">
            <w:pPr>
              <w:spacing w:before="120" w:after="120"/>
              <w:ind w:left="170"/>
            </w:pPr>
            <w:r>
              <w:rPr>
                <w:rFonts w:ascii="Calibri" w:hAnsi="Calibri"/>
                <w:color w:val="FFFFFF"/>
                <w:sz w:val="21"/>
              </w:rPr>
              <w:t>🚩  RED FLAGS — Do not miss these in the HBsAg-positive patient:</w:t>
            </w:r>
            <w:r>
              <w:rPr>
                <w:rFonts w:ascii="Calibri" w:hAnsi="Calibri"/>
                <w:color w:val="FFFFFF"/>
                <w:sz w:val="21"/>
              </w:rPr>
              <w:br/>
              <w:t>• Jaundice + coagulopathy + encephalopathy → Acute liver failure → Emergency referral</w:t>
            </w:r>
            <w:r>
              <w:rPr>
                <w:rFonts w:ascii="Calibri" w:hAnsi="Calibri"/>
                <w:color w:val="FFFFFF"/>
                <w:sz w:val="21"/>
              </w:rPr>
              <w:br/>
              <w:t>• HBsAg-positive + cirrhosis → 6-monthly AFP + liver USS for HCC surveillance</w:t>
            </w:r>
            <w:r>
              <w:rPr>
                <w:rFonts w:ascii="Calibri" w:hAnsi="Calibri"/>
                <w:color w:val="FFFFFF"/>
                <w:sz w:val="21"/>
              </w:rPr>
              <w:br/>
              <w:t>• HBsAg-positive + immunosuppression starting → Hepatologist review before starting (risk of reactivation)</w:t>
            </w:r>
            <w:r>
              <w:rPr>
                <w:rFonts w:ascii="Calibri" w:hAnsi="Calibri"/>
                <w:color w:val="FFFFFF"/>
                <w:sz w:val="21"/>
              </w:rPr>
              <w:br/>
              <w:t>• Perinatal exposure (mother HBsAg+) → First vaccine dose within 24 hours of birth + HBIG if HBeAg+</w:t>
            </w:r>
            <w:r>
              <w:rPr>
                <w:rFonts w:ascii="Calibri" w:hAnsi="Calibri"/>
                <w:color w:val="FFFFFF"/>
                <w:sz w:val="21"/>
              </w:rPr>
              <w:br/>
              <w:t>• Unexplained rise in transaminases → Check HBV DNA (HBeAg-negative chronic HBV can be active)</w:t>
            </w:r>
          </w:p>
        </w:tc>
      </w:tr>
    </w:tbl>
    <w:p w14:paraId="5ADBD71C" w14:textId="77777777" w:rsidR="00E87257" w:rsidRDefault="00E8725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6"/>
      </w:tblGrid>
      <w:tr w:rsidR="00E87257" w14:paraId="059CACEC" w14:textId="77777777">
        <w:tc>
          <w:tcPr>
            <w:tcW w:w="9746" w:type="dxa"/>
            <w:shd w:val="clear" w:color="auto" w:fill="4B0082"/>
          </w:tcPr>
          <w:p w14:paraId="3ED828A9" w14:textId="77777777" w:rsidR="00E87257" w:rsidRDefault="00000000">
            <w:pPr>
              <w:spacing w:before="120" w:after="120"/>
              <w:ind w:left="170"/>
            </w:pPr>
            <w:r>
              <w:rPr>
                <w:rFonts w:ascii="Calibri" w:hAnsi="Calibri"/>
                <w:color w:val="FFFFFF"/>
                <w:sz w:val="21"/>
              </w:rPr>
              <w:t>🎯  AKT EXAM PEARLS:</w:t>
            </w:r>
            <w:r>
              <w:rPr>
                <w:rFonts w:ascii="Calibri" w:hAnsi="Calibri"/>
                <w:color w:val="FFFFFF"/>
                <w:sz w:val="21"/>
              </w:rPr>
              <w:br/>
              <w:t>• Anti-HBc (total) is NEVER produced by vaccination — its presence = natural exposure</w:t>
            </w:r>
            <w:r>
              <w:rPr>
                <w:rFonts w:ascii="Calibri" w:hAnsi="Calibri"/>
                <w:color w:val="FFFFFF"/>
                <w:sz w:val="21"/>
              </w:rPr>
              <w:br/>
              <w:t>• Isolated anti-HBc positive (HBsAg –, anti-HBs –) → indeterminate; most often resolved infection</w:t>
            </w:r>
            <w:r>
              <w:rPr>
                <w:rFonts w:ascii="Calibri" w:hAnsi="Calibri"/>
                <w:color w:val="FFFFFF"/>
                <w:sz w:val="21"/>
              </w:rPr>
              <w:br/>
              <w:t>• If IgM anti-HBc positive + HBsAg positive → ACUTE infection</w:t>
            </w:r>
            <w:r>
              <w:rPr>
                <w:rFonts w:ascii="Calibri" w:hAnsi="Calibri"/>
                <w:color w:val="FFFFFF"/>
                <w:sz w:val="21"/>
              </w:rPr>
              <w:br/>
              <w:t>• Anti-HBs ≥10 mIU/mL = protective level (not 100 — that is the "good responder" threshold)</w:t>
            </w:r>
            <w:r>
              <w:rPr>
                <w:rFonts w:ascii="Calibri" w:hAnsi="Calibri"/>
                <w:color w:val="FFFFFF"/>
                <w:sz w:val="21"/>
              </w:rPr>
              <w:br/>
              <w:t>• Chronic infection = HBsAg persisting &gt;6 months</w:t>
            </w:r>
            <w:r>
              <w:rPr>
                <w:rFonts w:ascii="Calibri" w:hAnsi="Calibri"/>
                <w:color w:val="FFFFFF"/>
                <w:sz w:val="21"/>
              </w:rPr>
              <w:br/>
              <w:t>• HBV reactivation risk: look for anti-HBc total positive patients starting rituximab, chemotherapy, anti-TNF</w:t>
            </w:r>
            <w:r>
              <w:rPr>
                <w:rFonts w:ascii="Calibri" w:hAnsi="Calibri"/>
                <w:color w:val="FFFFFF"/>
                <w:sz w:val="21"/>
              </w:rPr>
              <w:br/>
              <w:t>• HBIG must be given at a different injection site from the vaccine, ideally within 24 hours</w:t>
            </w:r>
          </w:p>
        </w:tc>
      </w:tr>
    </w:tbl>
    <w:p w14:paraId="66A27ED2" w14:textId="77777777" w:rsidR="00E87257" w:rsidRDefault="00E8725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6"/>
      </w:tblGrid>
      <w:tr w:rsidR="00E87257" w14:paraId="2230DF44" w14:textId="77777777">
        <w:tc>
          <w:tcPr>
            <w:tcW w:w="9746" w:type="dxa"/>
            <w:shd w:val="clear" w:color="auto" w:fill="D4700A"/>
          </w:tcPr>
          <w:p w14:paraId="02E83B20" w14:textId="77777777" w:rsidR="00E87257" w:rsidRDefault="00000000">
            <w:pPr>
              <w:spacing w:before="120" w:after="120"/>
              <w:ind w:left="170"/>
            </w:pPr>
            <w:r>
              <w:rPr>
                <w:rFonts w:ascii="Calibri" w:hAnsi="Calibri"/>
                <w:color w:val="FFFFFF"/>
                <w:sz w:val="21"/>
              </w:rPr>
              <w:t>⚠️  COMMON PITFALLS IN GP:</w:t>
            </w:r>
            <w:r>
              <w:rPr>
                <w:rFonts w:ascii="Calibri" w:hAnsi="Calibri"/>
                <w:color w:val="FFFFFF"/>
                <w:sz w:val="21"/>
              </w:rPr>
              <w:br/>
              <w:t>• Confusing "anti-HBs positive" (vaccine immunity) with "anti-HBc positive" (natural exposure marker)</w:t>
            </w:r>
            <w:r>
              <w:rPr>
                <w:rFonts w:ascii="Calibri" w:hAnsi="Calibri"/>
                <w:color w:val="FFFFFF"/>
                <w:sz w:val="21"/>
              </w:rPr>
              <w:br/>
              <w:t>• Forgetting that anti-HBc is ABSENT after vaccination — never appears just from the vaccine</w:t>
            </w:r>
            <w:r>
              <w:rPr>
                <w:rFonts w:ascii="Calibri" w:hAnsi="Calibri"/>
                <w:color w:val="FFFFFF"/>
                <w:sz w:val="21"/>
              </w:rPr>
              <w:br/>
              <w:t>• Missing HBV reactivation in immunosuppressed patients (screen all with anti-HBc before starting biologics)</w:t>
            </w:r>
            <w:r>
              <w:rPr>
                <w:rFonts w:ascii="Calibri" w:hAnsi="Calibri"/>
                <w:color w:val="FFFFFF"/>
                <w:sz w:val="21"/>
              </w:rPr>
              <w:br/>
              <w:t>• Not testing household contacts when a chronic carrier is identified</w:t>
            </w:r>
            <w:r>
              <w:rPr>
                <w:rFonts w:ascii="Calibri" w:hAnsi="Calibri"/>
                <w:color w:val="FFFFFF"/>
                <w:sz w:val="21"/>
              </w:rPr>
              <w:br/>
              <w:t>• Overlooking HBeAg-negative chronic hepatitis B — viral load can still be high</w:t>
            </w:r>
            <w:r>
              <w:rPr>
                <w:rFonts w:ascii="Calibri" w:hAnsi="Calibri"/>
                <w:color w:val="FFFFFF"/>
                <w:sz w:val="21"/>
              </w:rPr>
              <w:br/>
              <w:t>• Delaying post-exposure prophylaxis — must act within 24 hours for maximum benefit</w:t>
            </w:r>
          </w:p>
        </w:tc>
      </w:tr>
    </w:tbl>
    <w:p w14:paraId="47F206BA" w14:textId="69DB862E" w:rsidR="007726E8" w:rsidRDefault="007726E8"/>
    <w:p w14:paraId="25B78A26" w14:textId="77777777" w:rsidR="007726E8" w:rsidRDefault="007726E8">
      <w:r>
        <w:br w:type="page"/>
      </w:r>
    </w:p>
    <w:p w14:paraId="3E9B60C0" w14:textId="77777777" w:rsidR="00E87257" w:rsidRDefault="00E8725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6"/>
      </w:tblGrid>
      <w:tr w:rsidR="00E87257" w14:paraId="2900A242" w14:textId="77777777">
        <w:tc>
          <w:tcPr>
            <w:tcW w:w="9746" w:type="dxa"/>
            <w:shd w:val="clear" w:color="auto" w:fill="1A5C9A"/>
          </w:tcPr>
          <w:p w14:paraId="2AF8E1F1" w14:textId="77777777" w:rsidR="00E87257" w:rsidRDefault="00000000">
            <w:pPr>
              <w:spacing w:before="120" w:after="120"/>
              <w:ind w:left="170"/>
            </w:pPr>
            <w:r>
              <w:rPr>
                <w:rFonts w:ascii="Calibri" w:hAnsi="Calibri"/>
                <w:color w:val="FFFFFF"/>
                <w:sz w:val="21"/>
              </w:rPr>
              <w:t>🧠  MEMORY HOOK — "sAg = infection; sAb = immunity; cAb = contact with virus":</w:t>
            </w:r>
            <w:r>
              <w:rPr>
                <w:rFonts w:ascii="Calibri" w:hAnsi="Calibri"/>
                <w:color w:val="FFFFFF"/>
                <w:sz w:val="21"/>
              </w:rPr>
              <w:br/>
              <w:t>• HBs-Ag positive → currently infected (surface antigen = virus present)</w:t>
            </w:r>
            <w:r>
              <w:rPr>
                <w:rFonts w:ascii="Calibri" w:hAnsi="Calibri"/>
                <w:color w:val="FFFFFF"/>
                <w:sz w:val="21"/>
              </w:rPr>
              <w:br/>
              <w:t>• Anti-HBs positive → immune (surface antibody = protection)</w:t>
            </w:r>
            <w:r>
              <w:rPr>
                <w:rFonts w:ascii="Calibri" w:hAnsi="Calibri"/>
                <w:color w:val="FFFFFF"/>
                <w:sz w:val="21"/>
              </w:rPr>
              <w:br/>
              <w:t>• Anti-HBc positive → had contact with the virus at some point (core antibody = natural exposure)</w:t>
            </w:r>
            <w:r>
              <w:rPr>
                <w:rFonts w:ascii="Calibri" w:hAnsi="Calibri"/>
                <w:color w:val="FFFFFF"/>
                <w:sz w:val="21"/>
              </w:rPr>
              <w:br/>
              <w:t>• IgM anti-HBc positive → RECENT contact (&lt;6 months) → acute</w:t>
            </w:r>
            <w:r>
              <w:rPr>
                <w:rFonts w:ascii="Calibri" w:hAnsi="Calibri"/>
                <w:color w:val="FFFFFF"/>
                <w:sz w:val="21"/>
              </w:rPr>
              <w:br/>
              <w:t>• All three negative → totally susceptible → VACCINATE!</w:t>
            </w:r>
          </w:p>
        </w:tc>
      </w:tr>
    </w:tbl>
    <w:p w14:paraId="185D914D" w14:textId="77777777" w:rsidR="00E87257" w:rsidRDefault="00E87257"/>
    <w:p w14:paraId="589BE9D9" w14:textId="77777777" w:rsidR="00E87257" w:rsidRDefault="00E8725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6"/>
      </w:tblGrid>
      <w:tr w:rsidR="00E87257" w14:paraId="3CF0390B" w14:textId="77777777">
        <w:tc>
          <w:tcPr>
            <w:tcW w:w="9746" w:type="dxa"/>
            <w:shd w:val="clear" w:color="auto" w:fill="FFF3EC"/>
          </w:tcPr>
          <w:p w14:paraId="7067107B" w14:textId="77777777" w:rsidR="00E87257" w:rsidRDefault="00000000">
            <w:pPr>
              <w:spacing w:before="120" w:after="120"/>
              <w:ind w:left="170"/>
            </w:pPr>
            <w:r>
              <w:rPr>
                <w:rFonts w:ascii="Calibri" w:hAnsi="Calibri"/>
                <w:color w:val="8B4513"/>
                <w:sz w:val="20"/>
              </w:rPr>
              <w:t>⚠  Disclaimer: Always double check this advice and drug doses with the latest NICE/BNF guidance. This document is for educational purposes only.</w:t>
            </w:r>
          </w:p>
        </w:tc>
      </w:tr>
    </w:tbl>
    <w:p w14:paraId="66C9264C" w14:textId="77777777" w:rsidR="00E87257" w:rsidRDefault="00E87257"/>
    <w:sectPr w:rsidR="00E87257" w:rsidSect="00034616">
      <w:footerReference w:type="default" r:id="rId8"/>
      <w:pgSz w:w="12240" w:h="15840"/>
      <w:pgMar w:top="1020" w:right="1247" w:bottom="1134" w:left="124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802D8" w14:textId="77777777" w:rsidR="00630604" w:rsidRDefault="00630604">
      <w:pPr>
        <w:spacing w:after="0" w:line="240" w:lineRule="auto"/>
      </w:pPr>
      <w:r>
        <w:separator/>
      </w:r>
    </w:p>
  </w:endnote>
  <w:endnote w:type="continuationSeparator" w:id="0">
    <w:p w14:paraId="381A7A93" w14:textId="77777777" w:rsidR="00630604" w:rsidRDefault="006306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7A56C" w14:textId="77777777" w:rsidR="00E87257" w:rsidRDefault="00000000">
    <w:pPr>
      <w:pStyle w:val="Footer"/>
      <w:spacing w:before="80"/>
      <w:jc w:val="center"/>
    </w:pPr>
    <w:r>
      <w:rPr>
        <w:rFonts w:ascii="Calibri" w:hAnsi="Calibri"/>
        <w:color w:val="787878"/>
        <w:sz w:val="16"/>
      </w:rPr>
      <w:t xml:space="preserve">A free resource provided by www.bradfordvts.co.uk, Dr Ramesh </w:t>
    </w:r>
    <w:proofErr w:type="gramStart"/>
    <w:r>
      <w:rPr>
        <w:rFonts w:ascii="Calibri" w:hAnsi="Calibri"/>
        <w:color w:val="787878"/>
        <w:sz w:val="16"/>
      </w:rPr>
      <w:t>Mehay  |</w:t>
    </w:r>
    <w:proofErr w:type="gramEnd"/>
    <w:r>
      <w:rPr>
        <w:rFonts w:ascii="Calibri" w:hAnsi="Calibri"/>
        <w:color w:val="787878"/>
        <w:sz w:val="16"/>
      </w:rPr>
      <w:t xml:space="preserve">  Original source: CDC chart (</w:t>
    </w:r>
    <w:proofErr w:type="gramStart"/>
    <w:r>
      <w:rPr>
        <w:rFonts w:ascii="Calibri" w:hAnsi="Calibri"/>
        <w:color w:val="787878"/>
        <w:sz w:val="16"/>
      </w:rPr>
      <w:t>adapted)  |</w:t>
    </w:r>
    <w:proofErr w:type="gramEnd"/>
    <w:r>
      <w:rPr>
        <w:rFonts w:ascii="Calibri" w:hAnsi="Calibri"/>
        <w:color w:val="787878"/>
        <w:sz w:val="16"/>
      </w:rPr>
      <w:t xml:space="preserve">  Revised May </w:t>
    </w:r>
    <w:proofErr w:type="gramStart"/>
    <w:r>
      <w:rPr>
        <w:rFonts w:ascii="Calibri" w:hAnsi="Calibri"/>
        <w:color w:val="787878"/>
        <w:sz w:val="16"/>
      </w:rPr>
      <w:t>2026  |</w:t>
    </w:r>
    <w:proofErr w:type="gramEnd"/>
    <w:r>
      <w:rPr>
        <w:rFonts w:ascii="Calibri" w:hAnsi="Calibri"/>
        <w:color w:val="787878"/>
        <w:sz w:val="16"/>
      </w:rPr>
      <w:t xml:space="preserve">  ⚠ Always double-check with current UKHSA Green Book guidance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E926F" w14:textId="77777777" w:rsidR="00630604" w:rsidRDefault="00630604">
      <w:pPr>
        <w:spacing w:after="0" w:line="240" w:lineRule="auto"/>
      </w:pPr>
      <w:r>
        <w:separator/>
      </w:r>
    </w:p>
  </w:footnote>
  <w:footnote w:type="continuationSeparator" w:id="0">
    <w:p w14:paraId="46242854" w14:textId="77777777" w:rsidR="00630604" w:rsidRDefault="006306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81488045">
    <w:abstractNumId w:val="8"/>
  </w:num>
  <w:num w:numId="2" w16cid:durableId="331301968">
    <w:abstractNumId w:val="6"/>
  </w:num>
  <w:num w:numId="3" w16cid:durableId="1523546557">
    <w:abstractNumId w:val="5"/>
  </w:num>
  <w:num w:numId="4" w16cid:durableId="794059229">
    <w:abstractNumId w:val="4"/>
  </w:num>
  <w:num w:numId="5" w16cid:durableId="1411806953">
    <w:abstractNumId w:val="7"/>
  </w:num>
  <w:num w:numId="6" w16cid:durableId="545456946">
    <w:abstractNumId w:val="3"/>
  </w:num>
  <w:num w:numId="7" w16cid:durableId="597836064">
    <w:abstractNumId w:val="2"/>
  </w:num>
  <w:num w:numId="8" w16cid:durableId="516309968">
    <w:abstractNumId w:val="1"/>
  </w:num>
  <w:num w:numId="9" w16cid:durableId="908033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51A19"/>
    <w:rsid w:val="0029639D"/>
    <w:rsid w:val="00326F90"/>
    <w:rsid w:val="00630604"/>
    <w:rsid w:val="007726E8"/>
    <w:rsid w:val="00AA1D8D"/>
    <w:rsid w:val="00B47730"/>
    <w:rsid w:val="00CB0664"/>
    <w:rsid w:val="00E8725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E78BBD"/>
  <w14:defaultImageDpi w14:val="300"/>
  <w15:docId w15:val="{BD89A786-D124-4EE9-BBF7-2C361B5C9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1263</Words>
  <Characters>7364</Characters>
  <Application>Microsoft Office Word</Application>
  <DocSecurity>0</DocSecurity>
  <Lines>253</Lines>
  <Paragraphs>126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8501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3</cp:revision>
  <dcterms:created xsi:type="dcterms:W3CDTF">2013-12-23T23:15:00Z</dcterms:created>
  <dcterms:modified xsi:type="dcterms:W3CDTF">2026-05-16T11:48:00Z</dcterms:modified>
  <cp:category/>
</cp:coreProperties>
</file>