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jc w:val="center"/>
        <w:tblLook w:val="04A0" w:firstRow="1" w:lastRow="0" w:firstColumn="1" w:lastColumn="0" w:noHBand="0" w:noVBand="1"/>
      </w:tblPr>
      <w:tblGrid>
        <w:gridCol w:w="9029"/>
      </w:tblGrid>
      <w:tr w:rsidR="002E4688" w14:paraId="2491986A" w14:textId="77777777">
        <w:trPr>
          <w:jc w:val="center"/>
        </w:trPr>
        <w:tc>
          <w:tcPr>
            <w:tcW w:w="9029" w:type="dxa"/>
            <w:shd w:val="clear" w:color="auto" w:fill="E0651F"/>
          </w:tcPr>
          <w:p w14:paraId="74F1D7E5" w14:textId="77777777" w:rsidR="002E4688" w:rsidRDefault="00000000">
            <w:pPr>
              <w:spacing w:before="120" w:after="120"/>
              <w:jc w:val="center"/>
            </w:pPr>
            <w:r>
              <w:rPr>
                <w:b/>
                <w:color w:val="FFFFFF"/>
              </w:rPr>
              <w:t>BRADFORD VTS TEACHING AIDS</w:t>
            </w:r>
          </w:p>
          <w:p w14:paraId="7CF46B6B" w14:textId="77777777" w:rsidR="002E4688" w:rsidRPr="0013563B" w:rsidRDefault="00000000">
            <w:pPr>
              <w:spacing w:before="120" w:after="120"/>
              <w:jc w:val="center"/>
              <w:rPr>
                <w:sz w:val="18"/>
                <w:szCs w:val="18"/>
              </w:rPr>
            </w:pPr>
            <w:r w:rsidRPr="0013563B">
              <w:rPr>
                <w:b/>
                <w:color w:val="FFFFFF"/>
                <w:sz w:val="52"/>
                <w:szCs w:val="18"/>
              </w:rPr>
              <w:t>Consulting with Patients Who Have a Learning Disability</w:t>
            </w:r>
          </w:p>
          <w:p w14:paraId="47C9D232" w14:textId="77777777" w:rsidR="002E4688" w:rsidRDefault="00000000">
            <w:pPr>
              <w:spacing w:before="120" w:after="120"/>
              <w:jc w:val="center"/>
            </w:pPr>
            <w:r>
              <w:rPr>
                <w:i/>
                <w:color w:val="FFFFFF"/>
                <w:sz w:val="24"/>
              </w:rPr>
              <w:t>A Practical Clinical Guide · Bradford VTS · May 2026</w:t>
            </w:r>
          </w:p>
        </w:tc>
      </w:tr>
    </w:tbl>
    <w:p w14:paraId="0090E298" w14:textId="77777777" w:rsidR="002E4688" w:rsidRDefault="002E4688"/>
    <w:p w14:paraId="404113AB" w14:textId="2D9120D6" w:rsidR="002E4688" w:rsidRDefault="00000000" w:rsidP="0013563B">
      <w:pPr>
        <w:jc w:val="center"/>
      </w:pPr>
      <w:r>
        <w:rPr>
          <w:i/>
          <w:color w:val="606060"/>
          <w:sz w:val="20"/>
        </w:rPr>
        <w:t>Evidence-based consultation tips for GP trainees — updated against NICE NG96 (2018) and NICE NG54 (2016, reviewed July 2024). Designed to support both AKT factual recall and SCA consultation skills.</w:t>
      </w:r>
    </w:p>
    <w:tbl>
      <w:tblPr>
        <w:tblW w:w="0" w:type="auto"/>
        <w:jc w:val="center"/>
        <w:tblLook w:val="04A0" w:firstRow="1" w:lastRow="0" w:firstColumn="1" w:lastColumn="0" w:noHBand="0" w:noVBand="1"/>
      </w:tblPr>
      <w:tblGrid>
        <w:gridCol w:w="9029"/>
      </w:tblGrid>
      <w:tr w:rsidR="002E4688" w14:paraId="65E6DFD8" w14:textId="77777777">
        <w:trPr>
          <w:jc w:val="center"/>
        </w:trPr>
        <w:tc>
          <w:tcPr>
            <w:tcW w:w="9029" w:type="dxa"/>
            <w:shd w:val="clear" w:color="auto" w:fill="FDEDEC"/>
          </w:tcPr>
          <w:p w14:paraId="1B9C54C0" w14:textId="77777777" w:rsidR="002E4688" w:rsidRDefault="00000000">
            <w:pPr>
              <w:spacing w:before="80" w:after="80"/>
            </w:pPr>
            <w:r>
              <w:rPr>
                <w:b/>
                <w:color w:val="C0392B"/>
                <w:sz w:val="24"/>
              </w:rPr>
              <w:t xml:space="preserve">Why </w:t>
            </w:r>
            <w:proofErr w:type="gramStart"/>
            <w:r>
              <w:rPr>
                <w:b/>
                <w:color w:val="C0392B"/>
                <w:sz w:val="24"/>
              </w:rPr>
              <w:t>this matters</w:t>
            </w:r>
            <w:proofErr w:type="gramEnd"/>
          </w:p>
          <w:p w14:paraId="576C041E" w14:textId="77777777" w:rsidR="002E4688" w:rsidRDefault="00000000">
            <w:pPr>
              <w:spacing w:before="80" w:after="80"/>
            </w:pPr>
            <w:r>
              <w:t>People with learning disabilities (LD) die 21 years earlier than the general population. 39–40% of their deaths are avoidable (LeDeR 2023). Poor communication, diagnostic overshadowing, and lack of reasonable adjustments are documented contributors to these deaths. Improving how we consult with patients who have LD is therefore not just good manners — it is a clinical safety imperative.</w:t>
            </w:r>
          </w:p>
        </w:tc>
      </w:tr>
    </w:tbl>
    <w:p w14:paraId="65263F5A" w14:textId="77777777" w:rsidR="002E4688" w:rsidRDefault="002E4688"/>
    <w:tbl>
      <w:tblPr>
        <w:tblW w:w="0" w:type="auto"/>
        <w:jc w:val="center"/>
        <w:tblLook w:val="04A0" w:firstRow="1" w:lastRow="0" w:firstColumn="1" w:lastColumn="0" w:noHBand="0" w:noVBand="1"/>
      </w:tblPr>
      <w:tblGrid>
        <w:gridCol w:w="9029"/>
      </w:tblGrid>
      <w:tr w:rsidR="002E4688" w14:paraId="76780717" w14:textId="77777777">
        <w:trPr>
          <w:jc w:val="center"/>
        </w:trPr>
        <w:tc>
          <w:tcPr>
            <w:tcW w:w="9029" w:type="dxa"/>
            <w:shd w:val="clear" w:color="auto" w:fill="EBF5FB"/>
          </w:tcPr>
          <w:p w14:paraId="07595064" w14:textId="77777777" w:rsidR="002E4688" w:rsidRDefault="00000000">
            <w:pPr>
              <w:spacing w:before="80" w:after="80"/>
            </w:pPr>
            <w:r>
              <w:rPr>
                <w:b/>
                <w:color w:val="2874A6"/>
                <w:sz w:val="24"/>
              </w:rPr>
              <w:t>THE SLOWDOWN Mnemonic</w:t>
            </w:r>
          </w:p>
          <w:p w14:paraId="086DC700" w14:textId="77777777" w:rsidR="002E4688" w:rsidRDefault="00000000">
            <w:pPr>
              <w:spacing w:before="80" w:after="80"/>
            </w:pPr>
            <w:r>
              <w:t>A simple consultation mnemonic for patients with LD:</w:t>
            </w:r>
            <w:r>
              <w:br/>
            </w:r>
            <w:r>
              <w:br/>
              <w:t>S — Speak to the patient first (not the carer)</w:t>
            </w:r>
            <w:r>
              <w:br/>
              <w:t>L — Longer appointment, first slot of the day</w:t>
            </w:r>
            <w:r>
              <w:br/>
              <w:t>O — One question at a time</w:t>
            </w:r>
            <w:r>
              <w:br/>
              <w:t>W — Watch for acquiescence (saying "yes" to please)</w:t>
            </w:r>
            <w:r>
              <w:br/>
              <w:t>D — Double-check understanding</w:t>
            </w:r>
            <w:r>
              <w:br/>
              <w:t>O — Open questions first</w:t>
            </w:r>
            <w:r>
              <w:br/>
              <w:t>W — Wrap up with a written health action plan</w:t>
            </w:r>
            <w:r>
              <w:br/>
              <w:t>N — Never attribute all symptoms to LD (diagnostic overshadowing)</w:t>
            </w:r>
          </w:p>
        </w:tc>
      </w:tr>
    </w:tbl>
    <w:p w14:paraId="75B4F11E" w14:textId="77777777" w:rsidR="002E4688" w:rsidRDefault="002E4688"/>
    <w:p w14:paraId="572D6B3F" w14:textId="33A5825E" w:rsidR="002E4688" w:rsidRDefault="00000000" w:rsidP="0013563B">
      <w:pPr>
        <w:spacing w:before="280" w:after="120"/>
      </w:pPr>
      <w:r>
        <w:rPr>
          <w:b/>
          <w:color w:val="1A5276"/>
          <w:sz w:val="36"/>
        </w:rPr>
        <w:t>The 10 Tips — In Detail</w:t>
      </w:r>
    </w:p>
    <w:tbl>
      <w:tblPr>
        <w:tblW w:w="0" w:type="auto"/>
        <w:jc w:val="center"/>
        <w:tblLook w:val="04A0" w:firstRow="1" w:lastRow="0" w:firstColumn="1" w:lastColumn="0" w:noHBand="0" w:noVBand="1"/>
      </w:tblPr>
      <w:tblGrid>
        <w:gridCol w:w="9029"/>
      </w:tblGrid>
      <w:tr w:rsidR="002E4688" w14:paraId="7DEF7B7E" w14:textId="77777777">
        <w:trPr>
          <w:jc w:val="center"/>
        </w:trPr>
        <w:tc>
          <w:tcPr>
            <w:tcW w:w="9029" w:type="dxa"/>
            <w:shd w:val="clear" w:color="auto" w:fill="EBF5FB"/>
          </w:tcPr>
          <w:p w14:paraId="04782F80" w14:textId="77777777" w:rsidR="002E4688" w:rsidRDefault="00000000">
            <w:pPr>
              <w:spacing w:before="60" w:after="60"/>
            </w:pPr>
            <w:r>
              <w:rPr>
                <w:b/>
                <w:color w:val="1A5276"/>
                <w:sz w:val="26"/>
              </w:rPr>
              <w:t>TIP 1: KNOW WHO HAS LD ON YOUR LIST</w:t>
            </w:r>
          </w:p>
          <w:p w14:paraId="11C2EC4A" w14:textId="77777777" w:rsidR="002E4688" w:rsidRDefault="00000000">
            <w:pPr>
              <w:spacing w:before="60" w:after="60"/>
            </w:pPr>
            <w:r>
              <w:t>Do not wait for patients to self-identify. Check your clinical system — is your LD register complete? Many patients with mild LD are not on it. The Accessible Information Standard requires you to record communication needs for all patients with LD. Check this before the appointment starts.</w:t>
            </w:r>
          </w:p>
        </w:tc>
      </w:tr>
      <w:tr w:rsidR="002E4688" w14:paraId="1C702DDE" w14:textId="77777777">
        <w:trPr>
          <w:jc w:val="center"/>
        </w:trPr>
        <w:tc>
          <w:tcPr>
            <w:tcW w:w="9029" w:type="dxa"/>
            <w:shd w:val="clear" w:color="auto" w:fill="E8F8F5"/>
          </w:tcPr>
          <w:p w14:paraId="67617BD8" w14:textId="77777777" w:rsidR="002E4688" w:rsidRDefault="00000000">
            <w:pPr>
              <w:spacing w:before="80" w:after="80"/>
            </w:pPr>
            <w:r>
              <w:rPr>
                <w:b/>
                <w:color w:val="1ABC9C"/>
                <w:sz w:val="24"/>
              </w:rPr>
              <w:t>Clinical Pearl</w:t>
            </w:r>
          </w:p>
          <w:p w14:paraId="21D8FD0A" w14:textId="77777777" w:rsidR="002E4688" w:rsidRDefault="00000000">
            <w:pPr>
              <w:spacing w:before="80" w:after="80"/>
            </w:pPr>
            <w:r>
              <w:t>Before the consultation, review the record. Look for: Accessible Information Standard entries, previous consultation notes, carer details, and any communication aids the patient uses.</w:t>
            </w:r>
          </w:p>
        </w:tc>
      </w:tr>
    </w:tbl>
    <w:p w14:paraId="169C7132" w14:textId="77777777" w:rsidR="002E4688" w:rsidRDefault="002E4688"/>
    <w:p w14:paraId="0AAF52F3" w14:textId="77777777" w:rsidR="002E4688" w:rsidRDefault="002E4688"/>
    <w:tbl>
      <w:tblPr>
        <w:tblW w:w="0" w:type="auto"/>
        <w:jc w:val="center"/>
        <w:tblLook w:val="04A0" w:firstRow="1" w:lastRow="0" w:firstColumn="1" w:lastColumn="0" w:noHBand="0" w:noVBand="1"/>
      </w:tblPr>
      <w:tblGrid>
        <w:gridCol w:w="9029"/>
      </w:tblGrid>
      <w:tr w:rsidR="002E4688" w14:paraId="437E7BC1" w14:textId="77777777">
        <w:trPr>
          <w:jc w:val="center"/>
        </w:trPr>
        <w:tc>
          <w:tcPr>
            <w:tcW w:w="9029" w:type="dxa"/>
            <w:shd w:val="clear" w:color="auto" w:fill="EBF5FB"/>
          </w:tcPr>
          <w:p w14:paraId="030DE835" w14:textId="77777777" w:rsidR="002E4688" w:rsidRDefault="00000000">
            <w:pPr>
              <w:spacing w:before="60" w:after="60"/>
            </w:pPr>
            <w:r>
              <w:rPr>
                <w:b/>
                <w:color w:val="1A5276"/>
                <w:sz w:val="26"/>
              </w:rPr>
              <w:t>TIP 2: OFFER THE FIRST APPOINTMENT OF THE SESSION</w:t>
            </w:r>
          </w:p>
          <w:p w14:paraId="4791E802" w14:textId="77777777" w:rsidR="002E4688" w:rsidRDefault="00000000">
            <w:pPr>
              <w:spacing w:before="60" w:after="60"/>
            </w:pPr>
            <w:r>
              <w:t>Waiting rooms can be overwhelming for people with LD — noise, crowds, long waits, and uncertainty are all distressing. Offering the first appointment of the day means shorter waiting time, a quieter room, and less sensory overwhelm.</w:t>
            </w:r>
          </w:p>
        </w:tc>
      </w:tr>
      <w:tr w:rsidR="002E4688" w14:paraId="5E71CC8D" w14:textId="77777777">
        <w:trPr>
          <w:jc w:val="center"/>
        </w:trPr>
        <w:tc>
          <w:tcPr>
            <w:tcW w:w="9029" w:type="dxa"/>
            <w:shd w:val="clear" w:color="auto" w:fill="E8F8F5"/>
          </w:tcPr>
          <w:p w14:paraId="665E8296" w14:textId="77777777" w:rsidR="002E4688" w:rsidRDefault="00000000">
            <w:pPr>
              <w:spacing w:before="80" w:after="80"/>
            </w:pPr>
            <w:r>
              <w:rPr>
                <w:b/>
                <w:color w:val="1ABC9C"/>
                <w:sz w:val="24"/>
              </w:rPr>
              <w:t>Clinical Pearl</w:t>
            </w:r>
          </w:p>
          <w:p w14:paraId="52C4AEC6" w14:textId="77777777" w:rsidR="002E4688" w:rsidRDefault="00000000">
            <w:pPr>
              <w:spacing w:before="80" w:after="80"/>
            </w:pPr>
            <w:r>
              <w:t>SCA tip: When managing a patient with LD, proactively offering "I'll make sure we book you first thing" demonstrates person-centred care without being asked.</w:t>
            </w:r>
          </w:p>
        </w:tc>
      </w:tr>
    </w:tbl>
    <w:p w14:paraId="4EC12945" w14:textId="77777777" w:rsidR="002E4688" w:rsidRDefault="002E4688"/>
    <w:p w14:paraId="6359130E" w14:textId="77777777" w:rsidR="002E4688" w:rsidRDefault="002E4688"/>
    <w:tbl>
      <w:tblPr>
        <w:tblW w:w="0" w:type="auto"/>
        <w:jc w:val="center"/>
        <w:tblLook w:val="04A0" w:firstRow="1" w:lastRow="0" w:firstColumn="1" w:lastColumn="0" w:noHBand="0" w:noVBand="1"/>
      </w:tblPr>
      <w:tblGrid>
        <w:gridCol w:w="9029"/>
      </w:tblGrid>
      <w:tr w:rsidR="002E4688" w14:paraId="50EC0180" w14:textId="77777777">
        <w:trPr>
          <w:jc w:val="center"/>
        </w:trPr>
        <w:tc>
          <w:tcPr>
            <w:tcW w:w="9029" w:type="dxa"/>
            <w:shd w:val="clear" w:color="auto" w:fill="EBF5FB"/>
          </w:tcPr>
          <w:p w14:paraId="6B3CFBDD" w14:textId="77777777" w:rsidR="002E4688" w:rsidRDefault="00000000">
            <w:pPr>
              <w:spacing w:before="60" w:after="60"/>
            </w:pPr>
            <w:r>
              <w:rPr>
                <w:b/>
                <w:color w:val="1A5276"/>
                <w:sz w:val="26"/>
              </w:rPr>
              <w:t>TIP 3: BOOK DOUBLE — OR LONGER — APPOINTMENT TIME</w:t>
            </w:r>
          </w:p>
          <w:p w14:paraId="1D975030" w14:textId="77777777" w:rsidR="002E4688" w:rsidRDefault="00000000">
            <w:pPr>
              <w:spacing w:before="60" w:after="60"/>
            </w:pPr>
            <w:r>
              <w:t>A 10-minute appointment is not enough. NICE NG96 recommends longer appointment times as a reasonable adjustment under the Equality Act 2010. Plan for at least 20 minutes; complex patients may need 30 minutes or more.</w:t>
            </w:r>
          </w:p>
        </w:tc>
      </w:tr>
      <w:tr w:rsidR="002E4688" w14:paraId="4112763C" w14:textId="77777777">
        <w:trPr>
          <w:jc w:val="center"/>
        </w:trPr>
        <w:tc>
          <w:tcPr>
            <w:tcW w:w="9029" w:type="dxa"/>
            <w:shd w:val="clear" w:color="auto" w:fill="E8F8F5"/>
          </w:tcPr>
          <w:p w14:paraId="090270F5" w14:textId="77777777" w:rsidR="002E4688" w:rsidRDefault="00000000">
            <w:pPr>
              <w:spacing w:before="80" w:after="80"/>
            </w:pPr>
            <w:r>
              <w:rPr>
                <w:b/>
                <w:color w:val="1ABC9C"/>
                <w:sz w:val="24"/>
              </w:rPr>
              <w:t>Clinical Pearl</w:t>
            </w:r>
          </w:p>
          <w:p w14:paraId="3DB4183B" w14:textId="77777777" w:rsidR="002E4688" w:rsidRDefault="00000000">
            <w:pPr>
              <w:spacing w:before="80" w:after="80"/>
            </w:pPr>
            <w:r>
              <w:t>Longer appointments save time in the long run — inadequate consultations lead to missed diagnoses, repeat attendances, and avoidable hospital admissions.</w:t>
            </w:r>
          </w:p>
        </w:tc>
      </w:tr>
    </w:tbl>
    <w:p w14:paraId="7C4EBDBA" w14:textId="77777777" w:rsidR="002E4688" w:rsidRDefault="002E4688"/>
    <w:p w14:paraId="73D171EB" w14:textId="77777777" w:rsidR="002E4688" w:rsidRDefault="002E4688"/>
    <w:tbl>
      <w:tblPr>
        <w:tblW w:w="0" w:type="auto"/>
        <w:jc w:val="center"/>
        <w:tblLook w:val="04A0" w:firstRow="1" w:lastRow="0" w:firstColumn="1" w:lastColumn="0" w:noHBand="0" w:noVBand="1"/>
      </w:tblPr>
      <w:tblGrid>
        <w:gridCol w:w="9029"/>
      </w:tblGrid>
      <w:tr w:rsidR="002E4688" w14:paraId="73D0DDB9" w14:textId="77777777">
        <w:trPr>
          <w:jc w:val="center"/>
        </w:trPr>
        <w:tc>
          <w:tcPr>
            <w:tcW w:w="9029" w:type="dxa"/>
            <w:shd w:val="clear" w:color="auto" w:fill="EBF5FB"/>
          </w:tcPr>
          <w:p w14:paraId="450C2D32" w14:textId="77777777" w:rsidR="002E4688" w:rsidRDefault="00000000">
            <w:pPr>
              <w:spacing w:before="60" w:after="60"/>
            </w:pPr>
            <w:r>
              <w:rPr>
                <w:b/>
                <w:color w:val="1A5276"/>
                <w:sz w:val="26"/>
              </w:rPr>
              <w:t>TIP 4: ALWAYS SPEAK TO THE PATIENT FIRST — BEFORE THE CARER</w:t>
            </w:r>
          </w:p>
          <w:p w14:paraId="7F2EB57F" w14:textId="77777777" w:rsidR="002E4688" w:rsidRDefault="00000000">
            <w:pPr>
              <w:spacing w:before="60" w:after="60"/>
            </w:pPr>
            <w:r>
              <w:t>This is the single most important rule. Speaking to the carer first as if the patient is not there is disrespectful, undermines autonomy, and often leads to carer-filtered history that misses important symptoms.</w:t>
            </w:r>
          </w:p>
          <w:p w14:paraId="3DF5BD47" w14:textId="77777777" w:rsidR="002E4688" w:rsidRDefault="002E4688">
            <w:pPr>
              <w:spacing w:before="60" w:after="60"/>
            </w:pPr>
          </w:p>
          <w:p w14:paraId="176B1540" w14:textId="77777777" w:rsidR="002E4688" w:rsidRDefault="00000000">
            <w:pPr>
              <w:spacing w:before="60" w:after="60"/>
            </w:pPr>
            <w:r>
              <w:t>The patient may have limited verbal communication — but they can still understand what is happening in the room. Directing your attention at the carer in their presence is dehumanising.</w:t>
            </w:r>
          </w:p>
          <w:p w14:paraId="021B0488" w14:textId="77777777" w:rsidR="002E4688" w:rsidRDefault="002E4688">
            <w:pPr>
              <w:spacing w:before="60" w:after="60"/>
            </w:pPr>
          </w:p>
          <w:p w14:paraId="6189856F" w14:textId="77777777" w:rsidR="002E4688" w:rsidRDefault="00000000">
            <w:pPr>
              <w:spacing w:before="60" w:after="60"/>
            </w:pPr>
            <w:r>
              <w:t>If the patient is unable to contribute verbally, explain this to them directly: "I need to ask [carer's name] some questions to help me understand how you are. Is that OK?"</w:t>
            </w:r>
          </w:p>
        </w:tc>
      </w:tr>
      <w:tr w:rsidR="002E4688" w14:paraId="62800668" w14:textId="77777777">
        <w:trPr>
          <w:jc w:val="center"/>
        </w:trPr>
        <w:tc>
          <w:tcPr>
            <w:tcW w:w="9029" w:type="dxa"/>
            <w:shd w:val="clear" w:color="auto" w:fill="E8F8F5"/>
          </w:tcPr>
          <w:p w14:paraId="2ED6F05A" w14:textId="77777777" w:rsidR="002E4688" w:rsidRDefault="00000000">
            <w:pPr>
              <w:spacing w:before="80" w:after="80"/>
            </w:pPr>
            <w:r>
              <w:rPr>
                <w:b/>
                <w:color w:val="1ABC9C"/>
                <w:sz w:val="24"/>
              </w:rPr>
              <w:t>Clinical Pearl</w:t>
            </w:r>
          </w:p>
          <w:p w14:paraId="06CF8723" w14:textId="77777777" w:rsidR="002E4688" w:rsidRDefault="00000000">
            <w:pPr>
              <w:spacing w:before="80" w:after="80"/>
            </w:pPr>
            <w:r>
              <w:t>SCA pearl: Examiners watch for this. If you speak to the carer instead of the patient, you will lose marks. This is a discriminatory consultation pattern.</w:t>
            </w:r>
          </w:p>
        </w:tc>
      </w:tr>
    </w:tbl>
    <w:p w14:paraId="6482A290" w14:textId="77777777" w:rsidR="002E4688" w:rsidRDefault="002E4688"/>
    <w:p w14:paraId="02A365E7" w14:textId="77777777" w:rsidR="002E4688" w:rsidRDefault="002E4688"/>
    <w:tbl>
      <w:tblPr>
        <w:tblW w:w="0" w:type="auto"/>
        <w:jc w:val="center"/>
        <w:tblLook w:val="04A0" w:firstRow="1" w:lastRow="0" w:firstColumn="1" w:lastColumn="0" w:noHBand="0" w:noVBand="1"/>
      </w:tblPr>
      <w:tblGrid>
        <w:gridCol w:w="9029"/>
      </w:tblGrid>
      <w:tr w:rsidR="002E4688" w14:paraId="073F56F8" w14:textId="77777777">
        <w:trPr>
          <w:jc w:val="center"/>
        </w:trPr>
        <w:tc>
          <w:tcPr>
            <w:tcW w:w="9029" w:type="dxa"/>
            <w:shd w:val="clear" w:color="auto" w:fill="EBF5FB"/>
          </w:tcPr>
          <w:p w14:paraId="5188FE7F" w14:textId="77777777" w:rsidR="002E4688" w:rsidRDefault="00000000">
            <w:pPr>
              <w:spacing w:before="60" w:after="60"/>
            </w:pPr>
            <w:r>
              <w:rPr>
                <w:b/>
                <w:color w:val="1A5276"/>
                <w:sz w:val="26"/>
              </w:rPr>
              <w:lastRenderedPageBreak/>
              <w:t>TIP 5: FIND OUT THE BEST WAY TO COMMUNICATE — AND USE IT</w:t>
            </w:r>
          </w:p>
          <w:p w14:paraId="0F983518" w14:textId="77777777" w:rsidR="002E4688" w:rsidRDefault="00000000">
            <w:pPr>
              <w:spacing w:before="60" w:after="60"/>
            </w:pPr>
            <w:r>
              <w:t>Ask at the start: "What is the best way for me to explain things to you?" and "How do you prefer to communicate?"</w:t>
            </w:r>
          </w:p>
          <w:p w14:paraId="5D3993DD" w14:textId="77777777" w:rsidR="002E4688" w:rsidRDefault="002E4688">
            <w:pPr>
              <w:spacing w:before="60" w:after="60"/>
            </w:pPr>
          </w:p>
          <w:p w14:paraId="04EA5D54" w14:textId="77777777" w:rsidR="002E4688" w:rsidRDefault="00000000">
            <w:pPr>
              <w:spacing w:before="60" w:after="60"/>
            </w:pPr>
            <w:r>
              <w:t>Ask the carer: "Does [name] use any special ways of communicating that I should know about?"</w:t>
            </w:r>
          </w:p>
          <w:p w14:paraId="2E0B2367" w14:textId="77777777" w:rsidR="002E4688" w:rsidRDefault="002E4688">
            <w:pPr>
              <w:spacing w:before="60" w:after="60"/>
            </w:pPr>
          </w:p>
          <w:p w14:paraId="7C59EF9F" w14:textId="77777777" w:rsidR="002E4688" w:rsidRDefault="00000000">
            <w:pPr>
              <w:spacing w:before="60" w:after="60"/>
            </w:pPr>
            <w:r>
              <w:t>Communication aids you might use:</w:t>
            </w:r>
          </w:p>
          <w:p w14:paraId="214A925C" w14:textId="77777777" w:rsidR="002E4688" w:rsidRDefault="00000000">
            <w:pPr>
              <w:spacing w:before="60" w:after="60"/>
            </w:pPr>
            <w:r>
              <w:t>• Easy-read information (pictures and simple words)</w:t>
            </w:r>
          </w:p>
          <w:p w14:paraId="44DDA6F8" w14:textId="77777777" w:rsidR="002E4688" w:rsidRDefault="00000000">
            <w:pPr>
              <w:spacing w:before="60" w:after="60"/>
            </w:pPr>
            <w:r>
              <w:t>• Makaton signing</w:t>
            </w:r>
          </w:p>
          <w:p w14:paraId="065B3FE1" w14:textId="77777777" w:rsidR="002E4688" w:rsidRDefault="00000000">
            <w:pPr>
              <w:spacing w:before="60" w:after="60"/>
            </w:pPr>
            <w:r>
              <w:t>• Augmentative and alternative communication (AAC) devices</w:t>
            </w:r>
          </w:p>
          <w:p w14:paraId="75AE4EA9" w14:textId="77777777" w:rsidR="002E4688" w:rsidRDefault="00000000">
            <w:pPr>
              <w:spacing w:before="60" w:after="60"/>
            </w:pPr>
            <w:r>
              <w:t>• Picture boards</w:t>
            </w:r>
          </w:p>
          <w:p w14:paraId="3B0CA4E1" w14:textId="77777777" w:rsidR="002E4688" w:rsidRDefault="00000000">
            <w:pPr>
              <w:spacing w:before="60" w:after="60"/>
            </w:pPr>
            <w:r>
              <w:t>• Objects of reference</w:t>
            </w:r>
          </w:p>
          <w:p w14:paraId="6F1E0C66" w14:textId="77777777" w:rsidR="002E4688" w:rsidRDefault="002E4688">
            <w:pPr>
              <w:spacing w:before="60" w:after="60"/>
            </w:pPr>
          </w:p>
          <w:p w14:paraId="6ECE9BE3" w14:textId="77777777" w:rsidR="002E4688" w:rsidRDefault="00000000">
            <w:pPr>
              <w:spacing w:before="60" w:after="60"/>
            </w:pPr>
            <w:r>
              <w:t>EasyHealth (www.easyhealth.org.uk) has excellent easy-read resources for many health conditions.</w:t>
            </w:r>
          </w:p>
        </w:tc>
      </w:tr>
      <w:tr w:rsidR="002E4688" w14:paraId="6D1CA8C0" w14:textId="77777777">
        <w:trPr>
          <w:jc w:val="center"/>
        </w:trPr>
        <w:tc>
          <w:tcPr>
            <w:tcW w:w="9029" w:type="dxa"/>
            <w:shd w:val="clear" w:color="auto" w:fill="E8F8F5"/>
          </w:tcPr>
          <w:p w14:paraId="23F8132E" w14:textId="77777777" w:rsidR="002E4688" w:rsidRDefault="00000000">
            <w:pPr>
              <w:spacing w:before="80" w:after="80"/>
            </w:pPr>
            <w:r>
              <w:rPr>
                <w:b/>
                <w:color w:val="1ABC9C"/>
                <w:sz w:val="24"/>
              </w:rPr>
              <w:t>Clinical Pearl</w:t>
            </w:r>
          </w:p>
          <w:p w14:paraId="7F049031" w14:textId="77777777" w:rsidR="002E4688" w:rsidRDefault="00000000">
            <w:pPr>
              <w:spacing w:before="80" w:after="80"/>
            </w:pPr>
            <w:r>
              <w:t>Never assume someone's communication ability from their diagnosis. A person with severe LD may have effective ways of communicating that you will miss if you don't ask.</w:t>
            </w:r>
          </w:p>
        </w:tc>
      </w:tr>
    </w:tbl>
    <w:p w14:paraId="7F82BED0" w14:textId="77777777" w:rsidR="002E4688" w:rsidRDefault="002E4688"/>
    <w:p w14:paraId="55DF3583" w14:textId="77777777" w:rsidR="002E4688" w:rsidRDefault="002E4688"/>
    <w:tbl>
      <w:tblPr>
        <w:tblW w:w="0" w:type="auto"/>
        <w:jc w:val="center"/>
        <w:tblLook w:val="04A0" w:firstRow="1" w:lastRow="0" w:firstColumn="1" w:lastColumn="0" w:noHBand="0" w:noVBand="1"/>
      </w:tblPr>
      <w:tblGrid>
        <w:gridCol w:w="9029"/>
      </w:tblGrid>
      <w:tr w:rsidR="002E4688" w14:paraId="65AEEF02" w14:textId="77777777">
        <w:trPr>
          <w:jc w:val="center"/>
        </w:trPr>
        <w:tc>
          <w:tcPr>
            <w:tcW w:w="9029" w:type="dxa"/>
            <w:shd w:val="clear" w:color="auto" w:fill="EBF5FB"/>
          </w:tcPr>
          <w:p w14:paraId="6F14B77B" w14:textId="77777777" w:rsidR="002E4688" w:rsidRDefault="00000000">
            <w:pPr>
              <w:spacing w:before="60" w:after="60"/>
            </w:pPr>
            <w:r>
              <w:rPr>
                <w:b/>
                <w:color w:val="1A5276"/>
                <w:sz w:val="26"/>
              </w:rPr>
              <w:t>TIP 6: EXPLAIN THE CONSULTATION PROCESS BEFORE YOU START</w:t>
            </w:r>
          </w:p>
          <w:p w14:paraId="08CFE22C" w14:textId="77777777" w:rsidR="002E4688" w:rsidRDefault="00000000">
            <w:pPr>
              <w:spacing w:before="60" w:after="60"/>
            </w:pPr>
            <w:r>
              <w:t>Many people with LD do not understand what a consultation is for, what will happen, or what to expect. Explaining the process upfront dramatically reduces anxiety and improves engagement.</w:t>
            </w:r>
          </w:p>
          <w:p w14:paraId="2A246875" w14:textId="77777777" w:rsidR="002E4688" w:rsidRDefault="002E4688">
            <w:pPr>
              <w:spacing w:before="60" w:after="60"/>
            </w:pPr>
          </w:p>
          <w:p w14:paraId="51C82C5D" w14:textId="77777777" w:rsidR="002E4688" w:rsidRDefault="00000000">
            <w:pPr>
              <w:spacing w:before="60" w:after="60"/>
            </w:pPr>
            <w:r>
              <w:t>Say something like:</w:t>
            </w:r>
          </w:p>
          <w:p w14:paraId="075AE027" w14:textId="77777777" w:rsidR="002E4688" w:rsidRDefault="00000000">
            <w:pPr>
              <w:spacing w:before="60" w:after="60"/>
            </w:pPr>
            <w:r>
              <w:t>"Today I want to listen to you first and hear how you've been feeling.</w:t>
            </w:r>
          </w:p>
          <w:p w14:paraId="4455EF04" w14:textId="77777777" w:rsidR="002E4688" w:rsidRDefault="00000000">
            <w:pPr>
              <w:spacing w:before="60" w:after="60"/>
            </w:pPr>
            <w:r>
              <w:t>Then I might need to have a look at you — I'll always tell you what I'm doing first.</w:t>
            </w:r>
          </w:p>
          <w:p w14:paraId="2FBF44CB" w14:textId="77777777" w:rsidR="002E4688" w:rsidRDefault="00000000">
            <w:pPr>
              <w:spacing w:before="60" w:after="60"/>
            </w:pPr>
            <w:r>
              <w:t>Then I'll tell you what I think, and we can decide together what to do next."</w:t>
            </w:r>
          </w:p>
          <w:p w14:paraId="57BEFF81" w14:textId="77777777" w:rsidR="002E4688" w:rsidRDefault="002E4688">
            <w:pPr>
              <w:spacing w:before="60" w:after="60"/>
            </w:pPr>
          </w:p>
          <w:p w14:paraId="555CD6F2" w14:textId="77777777" w:rsidR="002E4688" w:rsidRDefault="00000000">
            <w:pPr>
              <w:spacing w:before="60" w:after="60"/>
            </w:pPr>
            <w:r>
              <w:t>Before any examination: show the patient the equipment first. Tell them what you are going to do and why. Tell them if it might be uncomfortable. Ask if they are ready.</w:t>
            </w:r>
          </w:p>
        </w:tc>
      </w:tr>
      <w:tr w:rsidR="002E4688" w14:paraId="69F5D27B" w14:textId="77777777">
        <w:trPr>
          <w:jc w:val="center"/>
        </w:trPr>
        <w:tc>
          <w:tcPr>
            <w:tcW w:w="9029" w:type="dxa"/>
            <w:shd w:val="clear" w:color="auto" w:fill="E8F8F5"/>
          </w:tcPr>
          <w:p w14:paraId="03140B8D" w14:textId="77777777" w:rsidR="002E4688" w:rsidRDefault="00000000">
            <w:pPr>
              <w:spacing w:before="80" w:after="80"/>
            </w:pPr>
            <w:r>
              <w:rPr>
                <w:b/>
                <w:color w:val="1ABC9C"/>
                <w:sz w:val="24"/>
              </w:rPr>
              <w:t>Clinical Pearl</w:t>
            </w:r>
          </w:p>
          <w:p w14:paraId="330BE24F" w14:textId="77777777" w:rsidR="002E4688" w:rsidRDefault="00000000">
            <w:pPr>
              <w:spacing w:before="80" w:after="80"/>
            </w:pPr>
            <w:r>
              <w:t>SCA pearl: "Checking in" before each step of an examination ("Is it OK if I listen to your chest now?") demonstrates consent awareness and person-centred care — both marks in the SCA.</w:t>
            </w:r>
          </w:p>
        </w:tc>
      </w:tr>
    </w:tbl>
    <w:p w14:paraId="1698AB1A" w14:textId="77777777" w:rsidR="002E4688" w:rsidRDefault="002E4688"/>
    <w:p w14:paraId="79E8C5EE" w14:textId="77777777" w:rsidR="002E4688" w:rsidRDefault="002E4688"/>
    <w:p w14:paraId="2C324550" w14:textId="77777777" w:rsidR="0013563B" w:rsidRDefault="0013563B"/>
    <w:tbl>
      <w:tblPr>
        <w:tblW w:w="0" w:type="auto"/>
        <w:jc w:val="center"/>
        <w:tblLook w:val="04A0" w:firstRow="1" w:lastRow="0" w:firstColumn="1" w:lastColumn="0" w:noHBand="0" w:noVBand="1"/>
      </w:tblPr>
      <w:tblGrid>
        <w:gridCol w:w="9029"/>
      </w:tblGrid>
      <w:tr w:rsidR="002E4688" w14:paraId="419A1641" w14:textId="77777777">
        <w:trPr>
          <w:jc w:val="center"/>
        </w:trPr>
        <w:tc>
          <w:tcPr>
            <w:tcW w:w="9029" w:type="dxa"/>
            <w:shd w:val="clear" w:color="auto" w:fill="EBF5FB"/>
          </w:tcPr>
          <w:p w14:paraId="71FE3238" w14:textId="77777777" w:rsidR="002E4688" w:rsidRDefault="00000000">
            <w:pPr>
              <w:spacing w:before="60" w:after="60"/>
            </w:pPr>
            <w:r>
              <w:rPr>
                <w:b/>
                <w:color w:val="1A5276"/>
                <w:sz w:val="26"/>
              </w:rPr>
              <w:lastRenderedPageBreak/>
              <w:t>TIP 7: USE SIMPLE LANGUAGE AND ASK ONE QUESTION AT A TIME</w:t>
            </w:r>
          </w:p>
          <w:p w14:paraId="3FD98ACD" w14:textId="77777777" w:rsidR="002E4688" w:rsidRDefault="00000000">
            <w:pPr>
              <w:spacing w:before="60" w:after="60"/>
            </w:pPr>
            <w:r>
              <w:t>Avoid medical jargon, abstract concepts, and multi-part questions. Examples:</w:t>
            </w:r>
          </w:p>
          <w:p w14:paraId="17AEA913" w14:textId="77777777" w:rsidR="002E4688" w:rsidRDefault="002E4688">
            <w:pPr>
              <w:spacing w:before="60" w:after="60"/>
            </w:pPr>
          </w:p>
          <w:p w14:paraId="22990623" w14:textId="77777777" w:rsidR="002E4688" w:rsidRDefault="00000000">
            <w:pPr>
              <w:spacing w:before="60" w:after="60"/>
            </w:pPr>
            <w:r>
              <w:t>✗  "Have your bowels been moving regularly?"</w:t>
            </w:r>
          </w:p>
          <w:p w14:paraId="638D2416" w14:textId="77777777" w:rsidR="002E4688" w:rsidRDefault="00000000">
            <w:pPr>
              <w:spacing w:before="60" w:after="60"/>
            </w:pPr>
            <w:r>
              <w:t>✓  "Have you been able to go to the toilet for a poo this week?"</w:t>
            </w:r>
          </w:p>
          <w:p w14:paraId="38AE42C0" w14:textId="77777777" w:rsidR="002E4688" w:rsidRDefault="002E4688">
            <w:pPr>
              <w:spacing w:before="60" w:after="60"/>
            </w:pPr>
          </w:p>
          <w:p w14:paraId="104382AA" w14:textId="77777777" w:rsidR="002E4688" w:rsidRDefault="00000000">
            <w:pPr>
              <w:spacing w:before="60" w:after="60"/>
            </w:pPr>
            <w:r>
              <w:t>✗  "Has your dysphagia been worse recently?"</w:t>
            </w:r>
          </w:p>
          <w:p w14:paraId="08F86F1B" w14:textId="77777777" w:rsidR="002E4688" w:rsidRDefault="00000000">
            <w:pPr>
              <w:spacing w:before="60" w:after="60"/>
            </w:pPr>
            <w:r>
              <w:t>✓  "Is it difficult to swallow when you eat?"</w:t>
            </w:r>
          </w:p>
          <w:p w14:paraId="3DCB0CE4" w14:textId="77777777" w:rsidR="002E4688" w:rsidRDefault="002E4688">
            <w:pPr>
              <w:spacing w:before="60" w:after="60"/>
            </w:pPr>
          </w:p>
          <w:p w14:paraId="31BA5581" w14:textId="77777777" w:rsidR="002E4688" w:rsidRDefault="00000000">
            <w:pPr>
              <w:spacing w:before="60" w:after="60"/>
            </w:pPr>
            <w:r>
              <w:t>Ask ONE question, then wait. Allow silence. Resist the urge to fill the gap — silence is the patient processing, not failing.</w:t>
            </w:r>
          </w:p>
          <w:p w14:paraId="546F0510" w14:textId="77777777" w:rsidR="002E4688" w:rsidRDefault="002E4688">
            <w:pPr>
              <w:spacing w:before="60" w:after="60"/>
            </w:pPr>
          </w:p>
          <w:p w14:paraId="4222106D" w14:textId="77777777" w:rsidR="002E4688" w:rsidRDefault="00000000">
            <w:pPr>
              <w:spacing w:before="60" w:after="60"/>
            </w:pPr>
            <w:r>
              <w:t>Use events, not clock times:</w:t>
            </w:r>
          </w:p>
          <w:p w14:paraId="2FDD08BB" w14:textId="77777777" w:rsidR="002E4688" w:rsidRDefault="00000000">
            <w:pPr>
              <w:spacing w:before="60" w:after="60"/>
            </w:pPr>
            <w:r>
              <w:t>✗  "Take this twice a day"</w:t>
            </w:r>
          </w:p>
          <w:p w14:paraId="4DA4AD53" w14:textId="77777777" w:rsidR="002E4688" w:rsidRDefault="00000000">
            <w:pPr>
              <w:spacing w:before="60" w:after="60"/>
            </w:pPr>
            <w:r>
              <w:t>✓  "Take one tablet with your breakfast and one with your evening meal"</w:t>
            </w:r>
          </w:p>
        </w:tc>
      </w:tr>
      <w:tr w:rsidR="002E4688" w14:paraId="18331818" w14:textId="77777777">
        <w:trPr>
          <w:jc w:val="center"/>
        </w:trPr>
        <w:tc>
          <w:tcPr>
            <w:tcW w:w="9029" w:type="dxa"/>
            <w:shd w:val="clear" w:color="auto" w:fill="E8F8F5"/>
          </w:tcPr>
          <w:p w14:paraId="4F5491EE" w14:textId="77777777" w:rsidR="002E4688" w:rsidRDefault="00000000">
            <w:pPr>
              <w:spacing w:before="80" w:after="80"/>
            </w:pPr>
            <w:r>
              <w:rPr>
                <w:b/>
                <w:color w:val="1ABC9C"/>
                <w:sz w:val="24"/>
              </w:rPr>
              <w:t>Clinical Pearl</w:t>
            </w:r>
          </w:p>
          <w:p w14:paraId="7A6F3AE3" w14:textId="77777777" w:rsidR="002E4688" w:rsidRDefault="00000000">
            <w:pPr>
              <w:spacing w:before="80" w:after="80"/>
            </w:pPr>
            <w:r>
              <w:t>Acquiescence bias: People with LD often say "yes" to please, even when they don't understand. If you get unexpected "yes" answers to everything, rephrase the question completely and check again.</w:t>
            </w:r>
          </w:p>
        </w:tc>
      </w:tr>
    </w:tbl>
    <w:p w14:paraId="7B300D7B" w14:textId="77777777" w:rsidR="002E4688" w:rsidRDefault="002E4688"/>
    <w:p w14:paraId="7D8233CC" w14:textId="77777777" w:rsidR="002E4688" w:rsidRDefault="002E4688"/>
    <w:tbl>
      <w:tblPr>
        <w:tblW w:w="0" w:type="auto"/>
        <w:jc w:val="center"/>
        <w:tblLook w:val="04A0" w:firstRow="1" w:lastRow="0" w:firstColumn="1" w:lastColumn="0" w:noHBand="0" w:noVBand="1"/>
      </w:tblPr>
      <w:tblGrid>
        <w:gridCol w:w="9029"/>
      </w:tblGrid>
      <w:tr w:rsidR="002E4688" w14:paraId="79B8AA16" w14:textId="77777777">
        <w:trPr>
          <w:jc w:val="center"/>
        </w:trPr>
        <w:tc>
          <w:tcPr>
            <w:tcW w:w="9029" w:type="dxa"/>
            <w:shd w:val="clear" w:color="auto" w:fill="EBF5FB"/>
          </w:tcPr>
          <w:p w14:paraId="070A0CBA" w14:textId="77777777" w:rsidR="002E4688" w:rsidRDefault="00000000">
            <w:pPr>
              <w:spacing w:before="60" w:after="60"/>
            </w:pPr>
            <w:r>
              <w:rPr>
                <w:b/>
                <w:color w:val="1A5276"/>
                <w:sz w:val="26"/>
              </w:rPr>
              <w:t>TIP 8: GET INFORMATION FROM THE CARER — BUT DO THIS AFTER SPEAKING WITH THE PATIENT</w:t>
            </w:r>
          </w:p>
          <w:p w14:paraId="2796F98A" w14:textId="77777777" w:rsidR="002E4688" w:rsidRDefault="00000000">
            <w:pPr>
              <w:spacing w:before="60" w:after="60"/>
            </w:pPr>
            <w:r>
              <w:t>Once you have gathered history from the patient directly (however this is achieved), you can involve the carer:</w:t>
            </w:r>
          </w:p>
          <w:p w14:paraId="65EFDEEC" w14:textId="77777777" w:rsidR="002E4688" w:rsidRDefault="002E4688">
            <w:pPr>
              <w:spacing w:before="60" w:after="60"/>
            </w:pPr>
          </w:p>
          <w:p w14:paraId="3E4801FD" w14:textId="77777777" w:rsidR="002E4688" w:rsidRDefault="00000000">
            <w:pPr>
              <w:spacing w:before="60" w:after="60"/>
            </w:pPr>
            <w:r>
              <w:t>"Now I'd like to ask [carer's name] a few questions too, just to help make sure I understand everything. Is that OK?"</w:t>
            </w:r>
          </w:p>
          <w:p w14:paraId="6B812338" w14:textId="77777777" w:rsidR="002E4688" w:rsidRDefault="002E4688">
            <w:pPr>
              <w:spacing w:before="60" w:after="60"/>
            </w:pPr>
          </w:p>
          <w:p w14:paraId="54311327" w14:textId="77777777" w:rsidR="002E4688" w:rsidRDefault="00000000">
            <w:pPr>
              <w:spacing w:before="60" w:after="60"/>
            </w:pPr>
            <w:r>
              <w:t>Triangulate: compare what the patient says with what the carer says. Discrepancies are important — they may indicate misunderstanding, safeguarding concerns, or gaps in care.</w:t>
            </w:r>
          </w:p>
        </w:tc>
      </w:tr>
      <w:tr w:rsidR="002E4688" w14:paraId="12F4F69D" w14:textId="77777777">
        <w:trPr>
          <w:jc w:val="center"/>
        </w:trPr>
        <w:tc>
          <w:tcPr>
            <w:tcW w:w="9029" w:type="dxa"/>
            <w:shd w:val="clear" w:color="auto" w:fill="E8F8F5"/>
          </w:tcPr>
          <w:p w14:paraId="3C6215EA" w14:textId="77777777" w:rsidR="002E4688" w:rsidRDefault="00000000">
            <w:pPr>
              <w:spacing w:before="80" w:after="80"/>
            </w:pPr>
            <w:r>
              <w:rPr>
                <w:b/>
                <w:color w:val="1ABC9C"/>
                <w:sz w:val="24"/>
              </w:rPr>
              <w:t>Clinical Pearl</w:t>
            </w:r>
          </w:p>
          <w:p w14:paraId="19EF78AB" w14:textId="77777777" w:rsidR="002E4688" w:rsidRDefault="00000000">
            <w:pPr>
              <w:spacing w:before="80" w:after="80"/>
            </w:pPr>
            <w:r>
              <w:t>Red flag: If a carer refuses to leave the room or speaks over the patient consistently, this may be a safeguarding concern — document and consider referral to Adult Safeguarding if appropriate.</w:t>
            </w:r>
          </w:p>
        </w:tc>
      </w:tr>
    </w:tbl>
    <w:p w14:paraId="5AA5AB3E" w14:textId="77777777" w:rsidR="002E4688" w:rsidRDefault="002E4688"/>
    <w:p w14:paraId="20A74AEF" w14:textId="77777777" w:rsidR="002E4688" w:rsidRDefault="002E4688"/>
    <w:tbl>
      <w:tblPr>
        <w:tblW w:w="0" w:type="auto"/>
        <w:jc w:val="center"/>
        <w:tblLook w:val="04A0" w:firstRow="1" w:lastRow="0" w:firstColumn="1" w:lastColumn="0" w:noHBand="0" w:noVBand="1"/>
      </w:tblPr>
      <w:tblGrid>
        <w:gridCol w:w="9029"/>
      </w:tblGrid>
      <w:tr w:rsidR="002E4688" w14:paraId="4E0FD368" w14:textId="77777777">
        <w:trPr>
          <w:jc w:val="center"/>
        </w:trPr>
        <w:tc>
          <w:tcPr>
            <w:tcW w:w="9029" w:type="dxa"/>
            <w:shd w:val="clear" w:color="auto" w:fill="EBF5FB"/>
          </w:tcPr>
          <w:p w14:paraId="4CF26B65" w14:textId="77777777" w:rsidR="002E4688" w:rsidRDefault="00000000">
            <w:pPr>
              <w:spacing w:before="60" w:after="60"/>
            </w:pPr>
            <w:r>
              <w:rPr>
                <w:b/>
                <w:color w:val="1A5276"/>
                <w:sz w:val="26"/>
              </w:rPr>
              <w:lastRenderedPageBreak/>
              <w:t>TIP 9: CHECK UNDERSTANDING BEFORE ENDING</w:t>
            </w:r>
          </w:p>
          <w:p w14:paraId="0B0EE0DB" w14:textId="77777777" w:rsidR="002E4688" w:rsidRDefault="00000000">
            <w:pPr>
              <w:spacing w:before="60" w:after="60"/>
            </w:pPr>
            <w:r>
              <w:t>Do not assume understanding just because the patient nods or says "yes". Ask them to explain in their own words:</w:t>
            </w:r>
          </w:p>
          <w:p w14:paraId="54D4D8E5" w14:textId="77777777" w:rsidR="002E4688" w:rsidRDefault="002E4688">
            <w:pPr>
              <w:spacing w:before="60" w:after="60"/>
            </w:pPr>
          </w:p>
          <w:p w14:paraId="0491B0E5" w14:textId="77777777" w:rsidR="002E4688" w:rsidRDefault="00000000">
            <w:pPr>
              <w:spacing w:before="60" w:after="60"/>
            </w:pPr>
            <w:r>
              <w:t>"Before you go, can you tell me what we decided today?"</w:t>
            </w:r>
          </w:p>
          <w:p w14:paraId="643C03A7" w14:textId="77777777" w:rsidR="002E4688" w:rsidRDefault="00000000">
            <w:pPr>
              <w:spacing w:before="60" w:after="60"/>
            </w:pPr>
            <w:r>
              <w:t>"What are you going to do when you get home?"</w:t>
            </w:r>
          </w:p>
          <w:p w14:paraId="6D64FBED" w14:textId="77777777" w:rsidR="002E4688" w:rsidRDefault="002E4688">
            <w:pPr>
              <w:spacing w:before="60" w:after="60"/>
            </w:pPr>
          </w:p>
          <w:p w14:paraId="5621A044" w14:textId="77777777" w:rsidR="002E4688" w:rsidRDefault="00000000">
            <w:pPr>
              <w:spacing w:before="60" w:after="60"/>
            </w:pPr>
            <w:r>
              <w:t>If they cannot recall accurately, repeat the key information simply and provide a written (easy-read) health action plan.</w:t>
            </w:r>
          </w:p>
          <w:p w14:paraId="630E4391" w14:textId="77777777" w:rsidR="002E4688" w:rsidRDefault="002E4688">
            <w:pPr>
              <w:spacing w:before="60" w:after="60"/>
            </w:pPr>
          </w:p>
          <w:p w14:paraId="3542FCF9" w14:textId="77777777" w:rsidR="002E4688" w:rsidRDefault="00000000">
            <w:pPr>
              <w:spacing w:before="60" w:after="60"/>
            </w:pPr>
            <w:r>
              <w:t>For medication instructions, consider:</w:t>
            </w:r>
          </w:p>
          <w:p w14:paraId="65EFBA7D" w14:textId="77777777" w:rsidR="002E4688" w:rsidRDefault="00000000">
            <w:pPr>
              <w:spacing w:before="60" w:after="60"/>
            </w:pPr>
            <w:r>
              <w:t>• Blister packs or dosette boxes (refer to pharmacist)</w:t>
            </w:r>
          </w:p>
          <w:p w14:paraId="38D24C0A" w14:textId="77777777" w:rsidR="002E4688" w:rsidRDefault="00000000">
            <w:pPr>
              <w:spacing w:before="60" w:after="60"/>
            </w:pPr>
            <w:r>
              <w:t>• Pictorial medication instructions</w:t>
            </w:r>
          </w:p>
          <w:p w14:paraId="76BBF46B" w14:textId="77777777" w:rsidR="002E4688" w:rsidRDefault="00000000">
            <w:pPr>
              <w:spacing w:before="60" w:after="60"/>
            </w:pPr>
            <w:r>
              <w:t>• Easy-read leaflets</w:t>
            </w:r>
          </w:p>
          <w:p w14:paraId="239CB671" w14:textId="77777777" w:rsidR="002E4688" w:rsidRDefault="00000000">
            <w:pPr>
              <w:spacing w:before="60" w:after="60"/>
            </w:pPr>
            <w:r>
              <w:t>• Involving the carer in the medication plan with the patient's knowledge</w:t>
            </w:r>
          </w:p>
        </w:tc>
      </w:tr>
      <w:tr w:rsidR="002E4688" w14:paraId="6D496955" w14:textId="77777777">
        <w:trPr>
          <w:jc w:val="center"/>
        </w:trPr>
        <w:tc>
          <w:tcPr>
            <w:tcW w:w="9029" w:type="dxa"/>
            <w:shd w:val="clear" w:color="auto" w:fill="E8F8F5"/>
          </w:tcPr>
          <w:p w14:paraId="502E2C20" w14:textId="77777777" w:rsidR="002E4688" w:rsidRDefault="00000000">
            <w:pPr>
              <w:spacing w:before="80" w:after="80"/>
            </w:pPr>
            <w:r>
              <w:rPr>
                <w:b/>
                <w:color w:val="1ABC9C"/>
                <w:sz w:val="24"/>
              </w:rPr>
              <w:t>Clinical Pearl</w:t>
            </w:r>
          </w:p>
          <w:p w14:paraId="165F9E52" w14:textId="77777777" w:rsidR="002E4688" w:rsidRDefault="00000000">
            <w:pPr>
              <w:spacing w:before="80" w:after="80"/>
            </w:pPr>
            <w:r>
              <w:t>NICE NG96 recommends that health action plans are always provided after annual health checks in an accessible format. This principle applies to any consultation with significant clinical decisions.</w:t>
            </w:r>
          </w:p>
        </w:tc>
      </w:tr>
    </w:tbl>
    <w:p w14:paraId="345ACEE7" w14:textId="77777777" w:rsidR="002E4688" w:rsidRDefault="002E4688"/>
    <w:p w14:paraId="1AC0327C" w14:textId="77777777" w:rsidR="002E4688" w:rsidRDefault="002E4688"/>
    <w:tbl>
      <w:tblPr>
        <w:tblW w:w="0" w:type="auto"/>
        <w:jc w:val="center"/>
        <w:tblLook w:val="04A0" w:firstRow="1" w:lastRow="0" w:firstColumn="1" w:lastColumn="0" w:noHBand="0" w:noVBand="1"/>
      </w:tblPr>
      <w:tblGrid>
        <w:gridCol w:w="9029"/>
      </w:tblGrid>
      <w:tr w:rsidR="002E4688" w14:paraId="64F29D05" w14:textId="77777777">
        <w:trPr>
          <w:jc w:val="center"/>
        </w:trPr>
        <w:tc>
          <w:tcPr>
            <w:tcW w:w="9029" w:type="dxa"/>
            <w:shd w:val="clear" w:color="auto" w:fill="EBF5FB"/>
          </w:tcPr>
          <w:p w14:paraId="5A5D8C39" w14:textId="77777777" w:rsidR="002E4688" w:rsidRDefault="00000000">
            <w:pPr>
              <w:spacing w:before="60" w:after="60"/>
            </w:pPr>
            <w:r>
              <w:rPr>
                <w:b/>
                <w:color w:val="1A5276"/>
                <w:sz w:val="26"/>
              </w:rPr>
              <w:t>TIP 10: DOCUMENT COMMUNICATION NEEDS AND PLAN FOLLOW-UP</w:t>
            </w:r>
          </w:p>
          <w:p w14:paraId="51D943FE" w14:textId="77777777" w:rsidR="002E4688" w:rsidRDefault="00000000">
            <w:pPr>
              <w:spacing w:before="60" w:after="60"/>
            </w:pPr>
            <w:r>
              <w:t>After every consultation with a patient who has LD:</w:t>
            </w:r>
          </w:p>
          <w:p w14:paraId="17124696" w14:textId="77777777" w:rsidR="002E4688" w:rsidRDefault="00000000">
            <w:pPr>
              <w:spacing w:before="60" w:after="60"/>
            </w:pPr>
            <w:r>
              <w:t>• Record the communication needs on the Accessible Information Standard section of the clinical record</w:t>
            </w:r>
          </w:p>
          <w:p w14:paraId="332A9DC4" w14:textId="77777777" w:rsidR="002E4688" w:rsidRDefault="00000000">
            <w:pPr>
              <w:spacing w:before="60" w:after="60"/>
            </w:pPr>
            <w:r>
              <w:t>• Note what adjustments worked well — so the next clinician benefits</w:t>
            </w:r>
          </w:p>
          <w:p w14:paraId="04F347AA" w14:textId="77777777" w:rsidR="002E4688" w:rsidRDefault="00000000">
            <w:pPr>
              <w:spacing w:before="60" w:after="60"/>
            </w:pPr>
            <w:r>
              <w:t>• Book follow-up before the patient leaves (they are unlikely to rebook independently)</w:t>
            </w:r>
          </w:p>
          <w:p w14:paraId="041107F9" w14:textId="77777777" w:rsidR="002E4688" w:rsidRDefault="00000000">
            <w:pPr>
              <w:spacing w:before="60" w:after="60"/>
            </w:pPr>
            <w:r>
              <w:t>• Share relevant information with the care team if appropriate</w:t>
            </w:r>
          </w:p>
          <w:p w14:paraId="1C6B8C50" w14:textId="77777777" w:rsidR="002E4688" w:rsidRDefault="00000000">
            <w:pPr>
              <w:spacing w:before="60" w:after="60"/>
            </w:pPr>
            <w:r>
              <w:t>• For complex patients, consider a hospital passport so any acute admission goes smoothly</w:t>
            </w:r>
          </w:p>
        </w:tc>
      </w:tr>
      <w:tr w:rsidR="002E4688" w14:paraId="7008B6E7" w14:textId="77777777">
        <w:trPr>
          <w:jc w:val="center"/>
        </w:trPr>
        <w:tc>
          <w:tcPr>
            <w:tcW w:w="9029" w:type="dxa"/>
            <w:shd w:val="clear" w:color="auto" w:fill="E8F8F5"/>
          </w:tcPr>
          <w:p w14:paraId="4A7EBF5A" w14:textId="77777777" w:rsidR="002E4688" w:rsidRDefault="00000000">
            <w:pPr>
              <w:spacing w:before="80" w:after="80"/>
            </w:pPr>
            <w:r>
              <w:rPr>
                <w:b/>
                <w:color w:val="1ABC9C"/>
                <w:sz w:val="24"/>
              </w:rPr>
              <w:t>Clinical Pearl</w:t>
            </w:r>
          </w:p>
          <w:p w14:paraId="7B7FC72B" w14:textId="77777777" w:rsidR="002E4688" w:rsidRDefault="00000000">
            <w:pPr>
              <w:spacing w:before="80" w:after="80"/>
            </w:pPr>
            <w:r>
              <w:t>Continuity of care is especially important for patients with LD. They do better with the same clinician over time — build in continuity where possible.</w:t>
            </w:r>
          </w:p>
        </w:tc>
      </w:tr>
    </w:tbl>
    <w:p w14:paraId="195DA68B" w14:textId="77777777" w:rsidR="002E4688" w:rsidRDefault="002E4688"/>
    <w:p w14:paraId="38CAE841" w14:textId="1F99D4B9" w:rsidR="0013563B" w:rsidRDefault="0013563B">
      <w:r>
        <w:br w:type="page"/>
      </w:r>
    </w:p>
    <w:p w14:paraId="6B827BB2" w14:textId="77777777" w:rsidR="002E4688" w:rsidRDefault="002E4688"/>
    <w:tbl>
      <w:tblPr>
        <w:tblW w:w="0" w:type="auto"/>
        <w:jc w:val="center"/>
        <w:tblLook w:val="04A0" w:firstRow="1" w:lastRow="0" w:firstColumn="1" w:lastColumn="0" w:noHBand="0" w:noVBand="1"/>
      </w:tblPr>
      <w:tblGrid>
        <w:gridCol w:w="9029"/>
      </w:tblGrid>
      <w:tr w:rsidR="002E4688" w14:paraId="164562F1" w14:textId="77777777">
        <w:trPr>
          <w:jc w:val="center"/>
        </w:trPr>
        <w:tc>
          <w:tcPr>
            <w:tcW w:w="9029" w:type="dxa"/>
            <w:shd w:val="clear" w:color="auto" w:fill="F4ECF7"/>
          </w:tcPr>
          <w:p w14:paraId="5B3CE392" w14:textId="77777777" w:rsidR="002E4688" w:rsidRDefault="00000000">
            <w:pPr>
              <w:spacing w:before="80" w:after="80"/>
            </w:pPr>
            <w:r>
              <w:rPr>
                <w:b/>
                <w:color w:val="8E44AD"/>
                <w:sz w:val="24"/>
              </w:rPr>
              <w:t>In the Exam</w:t>
            </w:r>
          </w:p>
          <w:p w14:paraId="49F34FB3" w14:textId="77777777" w:rsidR="002E4688" w:rsidRDefault="00000000">
            <w:pPr>
              <w:spacing w:before="80" w:after="80"/>
            </w:pPr>
            <w:r>
              <w:t>IN THE AKT:</w:t>
            </w:r>
            <w:r>
              <w:br/>
              <w:t>• Reasonable adjustments for LD are a legal requirement under the Equality Act 2010</w:t>
            </w:r>
            <w:r>
              <w:br/>
              <w:t>• NICE NG96 (2018): recommendations for consulting with patients with LD</w:t>
            </w:r>
            <w:r>
              <w:br/>
              <w:t>• NICE QS187 (2019): quality standards for LD care — Annual Health Checks for all aged 14+</w:t>
            </w:r>
            <w:r>
              <w:br/>
              <w:t>• Acquiescence bias: patients with LD may say "yes" to please, even without understanding</w:t>
            </w:r>
            <w:r>
              <w:br/>
              <w:t>• Diagnostic overshadowing: attributing all symptoms to LD without excluding other causes</w:t>
            </w:r>
            <w:r>
              <w:br/>
            </w:r>
            <w:r>
              <w:br/>
              <w:t>IN THE SCA:</w:t>
            </w:r>
            <w:r>
              <w:br/>
              <w:t>• Always address the patient directly, before the carer — this is observed by examiners</w:t>
            </w:r>
            <w:r>
              <w:br/>
              <w:t>• Demonstrate consent awareness before any examination</w:t>
            </w:r>
            <w:r>
              <w:br/>
              <w:t>• Adjust your language and communication style explicitly (not just knowing you should)</w:t>
            </w:r>
            <w:r>
              <w:br/>
              <w:t>• Show you would book a longer appointment and offer the first slot</w:t>
            </w:r>
            <w:r>
              <w:br/>
              <w:t>• Provide information in an accessible format</w:t>
            </w:r>
          </w:p>
        </w:tc>
      </w:tr>
    </w:tbl>
    <w:p w14:paraId="7EF17404" w14:textId="77777777" w:rsidR="002E4688" w:rsidRDefault="002E4688"/>
    <w:p w14:paraId="0FFCADB3" w14:textId="77777777" w:rsidR="002E4688" w:rsidRDefault="002E4688"/>
    <w:p w14:paraId="6BA06366" w14:textId="77777777" w:rsidR="002E4688" w:rsidRDefault="002E4688"/>
    <w:tbl>
      <w:tblPr>
        <w:tblW w:w="0" w:type="auto"/>
        <w:jc w:val="center"/>
        <w:tblLook w:val="04A0" w:firstRow="1" w:lastRow="0" w:firstColumn="1" w:lastColumn="0" w:noHBand="0" w:noVBand="1"/>
      </w:tblPr>
      <w:tblGrid>
        <w:gridCol w:w="9029"/>
      </w:tblGrid>
      <w:tr w:rsidR="002E4688" w14:paraId="69CE489F" w14:textId="77777777">
        <w:trPr>
          <w:jc w:val="center"/>
        </w:trPr>
        <w:tc>
          <w:tcPr>
            <w:tcW w:w="9029" w:type="dxa"/>
            <w:shd w:val="clear" w:color="auto" w:fill="FDEBD0"/>
          </w:tcPr>
          <w:p w14:paraId="031222D0" w14:textId="77777777" w:rsidR="002E4688" w:rsidRDefault="00000000">
            <w:pPr>
              <w:spacing w:before="160" w:after="160"/>
              <w:jc w:val="center"/>
            </w:pPr>
            <w:r>
              <w:rPr>
                <w:b/>
                <w:color w:val="A04000"/>
              </w:rPr>
              <w:t>⚠  Always double check this advice and drug doses with the latest NICE/BNF guidance. This document is for educational purposes only.</w:t>
            </w:r>
          </w:p>
        </w:tc>
      </w:tr>
    </w:tbl>
    <w:p w14:paraId="29C4EB69" w14:textId="77777777" w:rsidR="009B797F" w:rsidRDefault="009B797F"/>
    <w:sectPr w:rsidR="009B797F" w:rsidSect="00034616">
      <w:footerReference w:type="default" r:id="rId8"/>
      <w:pgSz w:w="11909" w:h="16834"/>
      <w:pgMar w:top="1152" w:right="1440" w:bottom="1152"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F45353" w14:textId="77777777" w:rsidR="009B797F" w:rsidRDefault="009B797F">
      <w:pPr>
        <w:spacing w:after="0" w:line="240" w:lineRule="auto"/>
      </w:pPr>
      <w:r>
        <w:separator/>
      </w:r>
    </w:p>
  </w:endnote>
  <w:endnote w:type="continuationSeparator" w:id="0">
    <w:p w14:paraId="00CC4788" w14:textId="77777777" w:rsidR="009B797F" w:rsidRDefault="009B79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66E728" w14:textId="77777777" w:rsidR="002E4688" w:rsidRDefault="00000000">
    <w:pPr>
      <w:pStyle w:val="Footer"/>
      <w:jc w:val="center"/>
    </w:pPr>
    <w:r>
      <w:rPr>
        <w:color w:val="808080"/>
        <w:sz w:val="16"/>
      </w:rPr>
      <w:t>A free resource provided by www.bradfordvts.co.uk, Dr Ramesh Mehay, revised May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F8F0CD" w14:textId="77777777" w:rsidR="009B797F" w:rsidRDefault="009B797F">
      <w:pPr>
        <w:spacing w:after="0" w:line="240" w:lineRule="auto"/>
      </w:pPr>
      <w:r>
        <w:separator/>
      </w:r>
    </w:p>
  </w:footnote>
  <w:footnote w:type="continuationSeparator" w:id="0">
    <w:p w14:paraId="15E9C0FA" w14:textId="77777777" w:rsidR="009B797F" w:rsidRDefault="009B797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2127581147">
    <w:abstractNumId w:val="8"/>
  </w:num>
  <w:num w:numId="2" w16cid:durableId="1886135760">
    <w:abstractNumId w:val="6"/>
  </w:num>
  <w:num w:numId="3" w16cid:durableId="23941150">
    <w:abstractNumId w:val="5"/>
  </w:num>
  <w:num w:numId="4" w16cid:durableId="2067604681">
    <w:abstractNumId w:val="4"/>
  </w:num>
  <w:num w:numId="5" w16cid:durableId="2097163756">
    <w:abstractNumId w:val="7"/>
  </w:num>
  <w:num w:numId="6" w16cid:durableId="1143809864">
    <w:abstractNumId w:val="3"/>
  </w:num>
  <w:num w:numId="7" w16cid:durableId="44644796">
    <w:abstractNumId w:val="2"/>
  </w:num>
  <w:num w:numId="8" w16cid:durableId="1261597813">
    <w:abstractNumId w:val="1"/>
  </w:num>
  <w:num w:numId="9" w16cid:durableId="7019065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3563B"/>
    <w:rsid w:val="0015074B"/>
    <w:rsid w:val="0029639D"/>
    <w:rsid w:val="002E4688"/>
    <w:rsid w:val="00326F90"/>
    <w:rsid w:val="00573D5B"/>
    <w:rsid w:val="009B797F"/>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9033C61"/>
  <w14:defaultImageDpi w14:val="300"/>
  <w15:docId w15:val="{15563068-7C18-486A-AC70-C62F9749D8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Calibri" w:hAnsi="Calibri"/>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1435</Words>
  <Characters>7596</Characters>
  <Application>Microsoft Office Word</Application>
  <DocSecurity>0</DocSecurity>
  <Lines>199</Lines>
  <Paragraphs>107</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8924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Ramesh Mehay</cp:lastModifiedBy>
  <cp:revision>3</cp:revision>
  <dcterms:created xsi:type="dcterms:W3CDTF">2013-12-23T23:15:00Z</dcterms:created>
  <dcterms:modified xsi:type="dcterms:W3CDTF">2026-05-16T12:11:00Z</dcterms:modified>
  <cp:category/>
</cp:coreProperties>
</file>