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BB90C" w14:textId="77777777" w:rsidR="00390AE2" w:rsidRDefault="00390AE2">
      <w:pPr>
        <w:spacing w:before="6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3E9BDDB7"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300" w:type="dxa"/>
              <w:left w:w="360" w:type="dxa"/>
              <w:bottom w:w="60" w:type="dxa"/>
              <w:right w:w="360" w:type="dxa"/>
            </w:tcMar>
          </w:tcPr>
          <w:p w14:paraId="3036BA75" w14:textId="77777777" w:rsidR="00390AE2" w:rsidRDefault="00000000">
            <w:r>
              <w:rPr>
                <w:color w:val="B2E0E0"/>
                <w:sz w:val="24"/>
                <w:szCs w:val="24"/>
              </w:rPr>
              <w:t>A GUIDE TO</w:t>
            </w:r>
          </w:p>
        </w:tc>
      </w:tr>
      <w:tr w:rsidR="00390AE2" w14:paraId="104372FE"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0" w:type="dxa"/>
              <w:left w:w="360" w:type="dxa"/>
              <w:bottom w:w="0" w:type="dxa"/>
              <w:right w:w="360" w:type="dxa"/>
            </w:tcMar>
          </w:tcPr>
          <w:p w14:paraId="7C958CB2" w14:textId="77777777" w:rsidR="00390AE2" w:rsidRDefault="00000000">
            <w:r>
              <w:rPr>
                <w:b/>
                <w:bCs/>
                <w:color w:val="FFFFFF"/>
                <w:sz w:val="64"/>
                <w:szCs w:val="64"/>
              </w:rPr>
              <w:t>JOINT INJECTION</w:t>
            </w:r>
          </w:p>
        </w:tc>
      </w:tr>
      <w:tr w:rsidR="00390AE2" w14:paraId="223B00FA"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0" w:type="dxa"/>
              <w:left w:w="360" w:type="dxa"/>
              <w:bottom w:w="300" w:type="dxa"/>
              <w:right w:w="360" w:type="dxa"/>
            </w:tcMar>
          </w:tcPr>
          <w:p w14:paraId="069F242A" w14:textId="77777777" w:rsidR="00390AE2" w:rsidRDefault="00000000">
            <w:r>
              <w:rPr>
                <w:b/>
                <w:bCs/>
                <w:color w:val="B2E0E0"/>
                <w:sz w:val="64"/>
                <w:szCs w:val="64"/>
              </w:rPr>
              <w:t>TECHNIQUES</w:t>
            </w:r>
          </w:p>
        </w:tc>
      </w:tr>
    </w:tbl>
    <w:p w14:paraId="4CA1469E" w14:textId="77777777" w:rsidR="00390AE2" w:rsidRDefault="00390AE2">
      <w:pPr>
        <w:spacing w:before="2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5B453937"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0B8A8A"/>
            <w:tcMar>
              <w:top w:w="120" w:type="dxa"/>
              <w:left w:w="360" w:type="dxa"/>
              <w:bottom w:w="120" w:type="dxa"/>
              <w:right w:w="360" w:type="dxa"/>
            </w:tcMar>
          </w:tcPr>
          <w:p w14:paraId="621F0665" w14:textId="46F5708F" w:rsidR="00390AE2" w:rsidRDefault="00014114">
            <w:r>
              <w:rPr>
                <w:color w:val="FFFFFF"/>
                <w:sz w:val="22"/>
                <w:szCs w:val="22"/>
              </w:rPr>
              <w:t xml:space="preserve">BRADFORD VTS TEACHING </w:t>
            </w:r>
            <w:proofErr w:type="gramStart"/>
            <w:r>
              <w:rPr>
                <w:color w:val="FFFFFF"/>
                <w:sz w:val="22"/>
                <w:szCs w:val="22"/>
              </w:rPr>
              <w:t>AIDS  May</w:t>
            </w:r>
            <w:proofErr w:type="gramEnd"/>
            <w:r>
              <w:rPr>
                <w:color w:val="FFFFFF"/>
                <w:sz w:val="22"/>
                <w:szCs w:val="22"/>
              </w:rPr>
              <w:t xml:space="preserve"> </w:t>
            </w:r>
            <w:proofErr w:type="gramStart"/>
            <w:r>
              <w:rPr>
                <w:color w:val="FFFFFF"/>
                <w:sz w:val="22"/>
                <w:szCs w:val="22"/>
              </w:rPr>
              <w:t>2026</w:t>
            </w:r>
            <w:r w:rsidR="00000000">
              <w:rPr>
                <w:color w:val="FFFFFF"/>
                <w:sz w:val="22"/>
                <w:szCs w:val="22"/>
              </w:rPr>
              <w:t xml:space="preserve">  ·</w:t>
            </w:r>
            <w:proofErr w:type="gramEnd"/>
            <w:r w:rsidR="00000000">
              <w:rPr>
                <w:color w:val="FFFFFF"/>
                <w:sz w:val="22"/>
                <w:szCs w:val="22"/>
              </w:rPr>
              <w:t xml:space="preserve">  Updated to NICE NG226, NICE CKS &amp; BNF</w:t>
            </w:r>
          </w:p>
        </w:tc>
      </w:tr>
    </w:tbl>
    <w:p w14:paraId="09B0DBBC" w14:textId="77777777" w:rsidR="00390AE2" w:rsidRDefault="00390AE2">
      <w:pPr>
        <w:spacing w:before="12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48"/>
        <w:gridCol w:w="3249"/>
        <w:gridCol w:w="3249"/>
      </w:tblGrid>
      <w:tr w:rsidR="00390AE2" w14:paraId="18D53455" w14:textId="77777777">
        <w:tblPrEx>
          <w:tblCellMar>
            <w:top w:w="0" w:type="dxa"/>
            <w:bottom w:w="0" w:type="dxa"/>
          </w:tblCellMar>
        </w:tblPrEx>
        <w:tc>
          <w:tcPr>
            <w:tcW w:w="3248" w:type="dxa"/>
            <w:tcBorders>
              <w:top w:val="single" w:sz="4" w:space="0" w:color="CBD5E1"/>
              <w:left w:val="single" w:sz="4" w:space="0" w:color="CBD5E1"/>
              <w:bottom w:val="single" w:sz="4" w:space="0" w:color="CBD5E1"/>
              <w:right w:val="single" w:sz="4" w:space="0" w:color="CBD5E1"/>
            </w:tcBorders>
            <w:shd w:val="clear" w:color="auto" w:fill="E0F5F5"/>
            <w:tcMar>
              <w:top w:w="120" w:type="dxa"/>
              <w:left w:w="160" w:type="dxa"/>
              <w:bottom w:w="120" w:type="dxa"/>
              <w:right w:w="160" w:type="dxa"/>
            </w:tcMar>
          </w:tcPr>
          <w:p w14:paraId="60EA6C39" w14:textId="77777777" w:rsidR="00390AE2" w:rsidRDefault="00000000">
            <w:pPr>
              <w:spacing w:after="20"/>
            </w:pPr>
            <w:r>
              <w:rPr>
                <w:b/>
                <w:bCs/>
                <w:color w:val="0B8A8A"/>
                <w:sz w:val="16"/>
                <w:szCs w:val="16"/>
              </w:rPr>
              <w:t>Guidance</w:t>
            </w:r>
          </w:p>
          <w:p w14:paraId="1C46B800" w14:textId="77777777" w:rsidR="00390AE2" w:rsidRDefault="00000000">
            <w:r>
              <w:rPr>
                <w:b/>
                <w:bCs/>
                <w:color w:val="1B3A52"/>
                <w:sz w:val="19"/>
                <w:szCs w:val="19"/>
              </w:rPr>
              <w:t>NICE · BNF · RCGP</w:t>
            </w:r>
          </w:p>
        </w:tc>
        <w:tc>
          <w:tcPr>
            <w:tcW w:w="3248" w:type="dxa"/>
            <w:tcBorders>
              <w:top w:val="single" w:sz="4" w:space="0" w:color="CBD5E1"/>
              <w:left w:val="single" w:sz="4" w:space="0" w:color="CBD5E1"/>
              <w:bottom w:val="single" w:sz="4" w:space="0" w:color="CBD5E1"/>
              <w:right w:val="single" w:sz="4" w:space="0" w:color="CBD5E1"/>
            </w:tcBorders>
            <w:shd w:val="clear" w:color="auto" w:fill="F8FAFC"/>
            <w:tcMar>
              <w:top w:w="120" w:type="dxa"/>
              <w:left w:w="160" w:type="dxa"/>
              <w:bottom w:w="120" w:type="dxa"/>
              <w:right w:w="160" w:type="dxa"/>
            </w:tcMar>
          </w:tcPr>
          <w:p w14:paraId="600DA40D" w14:textId="77777777" w:rsidR="00390AE2" w:rsidRDefault="00000000">
            <w:pPr>
              <w:spacing w:after="20"/>
            </w:pPr>
            <w:r>
              <w:rPr>
                <w:b/>
                <w:bCs/>
                <w:color w:val="0B8A8A"/>
                <w:sz w:val="16"/>
                <w:szCs w:val="16"/>
              </w:rPr>
              <w:t>Updated</w:t>
            </w:r>
          </w:p>
          <w:p w14:paraId="065B6E94" w14:textId="77777777" w:rsidR="00390AE2" w:rsidRDefault="00000000">
            <w:r>
              <w:rPr>
                <w:b/>
                <w:bCs/>
                <w:color w:val="1B3A52"/>
                <w:sz w:val="19"/>
                <w:szCs w:val="19"/>
              </w:rPr>
              <w:t>May 2025</w:t>
            </w:r>
          </w:p>
        </w:tc>
        <w:tc>
          <w:tcPr>
            <w:tcW w:w="3248" w:type="dxa"/>
            <w:tcBorders>
              <w:top w:val="single" w:sz="4" w:space="0" w:color="CBD5E1"/>
              <w:left w:val="single" w:sz="4" w:space="0" w:color="CBD5E1"/>
              <w:bottom w:val="single" w:sz="4" w:space="0" w:color="CBD5E1"/>
              <w:right w:val="single" w:sz="4" w:space="0" w:color="CBD5E1"/>
            </w:tcBorders>
            <w:shd w:val="clear" w:color="auto" w:fill="E0F5F5"/>
            <w:tcMar>
              <w:top w:w="120" w:type="dxa"/>
              <w:left w:w="160" w:type="dxa"/>
              <w:bottom w:w="120" w:type="dxa"/>
              <w:right w:w="160" w:type="dxa"/>
            </w:tcMar>
          </w:tcPr>
          <w:p w14:paraId="7CADCDCC" w14:textId="77777777" w:rsidR="00390AE2" w:rsidRDefault="00000000">
            <w:pPr>
              <w:spacing w:after="20"/>
            </w:pPr>
            <w:r>
              <w:rPr>
                <w:b/>
                <w:bCs/>
                <w:color w:val="0B8A8A"/>
                <w:sz w:val="16"/>
                <w:szCs w:val="16"/>
              </w:rPr>
              <w:t>Audience</w:t>
            </w:r>
          </w:p>
          <w:p w14:paraId="32BD077E" w14:textId="02F1E832" w:rsidR="00390AE2" w:rsidRDefault="00000000">
            <w:r>
              <w:rPr>
                <w:b/>
                <w:bCs/>
                <w:color w:val="1B3A52"/>
                <w:sz w:val="19"/>
                <w:szCs w:val="19"/>
              </w:rPr>
              <w:t>GP</w:t>
            </w:r>
            <w:r w:rsidR="00014114">
              <w:rPr>
                <w:b/>
                <w:bCs/>
                <w:color w:val="1B3A52"/>
                <w:sz w:val="19"/>
                <w:szCs w:val="19"/>
              </w:rPr>
              <w:t xml:space="preserve">s </w:t>
            </w:r>
            <w:r>
              <w:rPr>
                <w:b/>
                <w:bCs/>
                <w:color w:val="1B3A52"/>
                <w:sz w:val="19"/>
                <w:szCs w:val="19"/>
              </w:rPr>
              <w:t>· Minor Surgery</w:t>
            </w:r>
          </w:p>
        </w:tc>
      </w:tr>
    </w:tbl>
    <w:p w14:paraId="46456643" w14:textId="77777777" w:rsidR="00390AE2" w:rsidRDefault="00390AE2">
      <w:pPr>
        <w:spacing w:before="12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1CC89A0D" w14:textId="77777777">
        <w:tblPrEx>
          <w:tblCellMar>
            <w:top w:w="0" w:type="dxa"/>
            <w:bottom w:w="0" w:type="dxa"/>
          </w:tblCellMar>
        </w:tblPrEx>
        <w:tc>
          <w:tcPr>
            <w:tcW w:w="9746" w:type="dxa"/>
            <w:tcBorders>
              <w:top w:val="single" w:sz="12" w:space="0" w:color="6B7280"/>
              <w:left w:val="single" w:sz="28" w:space="0" w:color="6B7280"/>
              <w:bottom w:val="single" w:sz="12" w:space="0" w:color="6B7280"/>
              <w:right w:val="single" w:sz="12" w:space="0" w:color="6B7280"/>
            </w:tcBorders>
            <w:shd w:val="clear" w:color="auto" w:fill="F8FAFC"/>
            <w:tcMar>
              <w:top w:w="140" w:type="dxa"/>
              <w:left w:w="220" w:type="dxa"/>
              <w:bottom w:w="140" w:type="dxa"/>
              <w:right w:w="220" w:type="dxa"/>
            </w:tcMar>
          </w:tcPr>
          <w:p w14:paraId="6F70F9D2" w14:textId="77777777" w:rsidR="00390AE2" w:rsidRDefault="00000000">
            <w:pPr>
              <w:spacing w:after="80"/>
            </w:pPr>
            <w:r>
              <w:rPr>
                <w:b/>
                <w:bCs/>
                <w:color w:val="6B7280"/>
                <w:sz w:val="18"/>
                <w:szCs w:val="18"/>
              </w:rPr>
              <w:t>DISCLAIMER</w:t>
            </w:r>
          </w:p>
          <w:p w14:paraId="5C2CD331" w14:textId="77777777" w:rsidR="00390AE2" w:rsidRDefault="00000000">
            <w:pPr>
              <w:spacing w:after="50"/>
            </w:pPr>
            <w:r>
              <w:rPr>
                <w:color w:val="6B7280"/>
                <w:sz w:val="19"/>
                <w:szCs w:val="19"/>
              </w:rPr>
              <w:t>This is an educational resource for qualified UK primary care clinicians.</w:t>
            </w:r>
          </w:p>
          <w:p w14:paraId="3EAED9D7" w14:textId="77777777" w:rsidR="00390AE2" w:rsidRDefault="00000000">
            <w:pPr>
              <w:spacing w:after="50"/>
            </w:pPr>
            <w:r>
              <w:rPr>
                <w:color w:val="6B7280"/>
                <w:sz w:val="19"/>
                <w:szCs w:val="19"/>
              </w:rPr>
              <w:t>It does not replace individual clinical judgement, formal training, or local protocols.</w:t>
            </w:r>
          </w:p>
          <w:p w14:paraId="54E7DB2E" w14:textId="77777777" w:rsidR="00390AE2" w:rsidRDefault="00000000">
            <w:pPr>
              <w:spacing w:after="50"/>
            </w:pPr>
            <w:r>
              <w:rPr>
                <w:color w:val="6B7280"/>
                <w:sz w:val="19"/>
                <w:szCs w:val="19"/>
              </w:rPr>
              <w:t>Always verify prescribing decisions against the current BNF and NICE guidance.</w:t>
            </w:r>
          </w:p>
          <w:p w14:paraId="5DD057E3" w14:textId="77777777" w:rsidR="00390AE2" w:rsidRDefault="00000000">
            <w:pPr>
              <w:spacing w:after="50"/>
            </w:pPr>
            <w:r>
              <w:rPr>
                <w:color w:val="6B7280"/>
                <w:sz w:val="19"/>
                <w:szCs w:val="19"/>
              </w:rPr>
              <w:t>Practitioners must hold appropriate competence before performing any injection procedure.</w:t>
            </w:r>
          </w:p>
        </w:tc>
      </w:tr>
    </w:tbl>
    <w:p w14:paraId="56CA9E7E" w14:textId="77777777" w:rsidR="00390AE2" w:rsidRDefault="00390AE2">
      <w:pPr>
        <w:spacing w:before="80"/>
      </w:pPr>
    </w:p>
    <w:p w14:paraId="362F2356" w14:textId="77777777" w:rsidR="00390AE2" w:rsidRDefault="00000000">
      <w:pPr>
        <w:spacing w:after="40"/>
        <w:jc w:val="center"/>
      </w:pPr>
      <w:r>
        <w:rPr>
          <w:i/>
          <w:iCs/>
          <w:color w:val="6B7280"/>
          <w:sz w:val="17"/>
          <w:szCs w:val="17"/>
        </w:rPr>
        <w:t xml:space="preserve">Adapted from </w:t>
      </w:r>
      <w:proofErr w:type="spellStart"/>
      <w:r>
        <w:rPr>
          <w:i/>
          <w:iCs/>
          <w:color w:val="6B7280"/>
          <w:sz w:val="17"/>
          <w:szCs w:val="17"/>
        </w:rPr>
        <w:t>Canoso</w:t>
      </w:r>
      <w:proofErr w:type="spellEnd"/>
      <w:r>
        <w:rPr>
          <w:i/>
          <w:iCs/>
          <w:color w:val="6B7280"/>
          <w:sz w:val="17"/>
          <w:szCs w:val="17"/>
        </w:rPr>
        <w:t xml:space="preserve"> JJ — Rheumatology 2nd Ed. (Klippel &amp; Dieppe). Updated for UK practice.</w:t>
      </w:r>
    </w:p>
    <w:p w14:paraId="496B72BB" w14:textId="77777777" w:rsidR="00390AE2" w:rsidRDefault="00000000">
      <w:r>
        <w:br w:type="page"/>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139DC055"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3A1D5DA1" w14:textId="77777777" w:rsidR="00390AE2" w:rsidRDefault="00000000">
            <w:r>
              <w:rPr>
                <w:b/>
                <w:bCs/>
                <w:color w:val="FFFFFF"/>
                <w:sz w:val="32"/>
                <w:szCs w:val="32"/>
              </w:rPr>
              <w:lastRenderedPageBreak/>
              <w:t>Contents</w:t>
            </w:r>
          </w:p>
        </w:tc>
      </w:tr>
    </w:tbl>
    <w:p w14:paraId="25E8445D"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9146"/>
      </w:tblGrid>
      <w:tr w:rsidR="00390AE2" w14:paraId="0915EB85"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B3A52"/>
            <w:tcMar>
              <w:top w:w="80" w:type="dxa"/>
              <w:left w:w="120" w:type="dxa"/>
              <w:bottom w:w="80" w:type="dxa"/>
              <w:right w:w="80" w:type="dxa"/>
            </w:tcMar>
          </w:tcPr>
          <w:p w14:paraId="5A936233" w14:textId="77777777" w:rsidR="00390AE2" w:rsidRDefault="00000000">
            <w:pPr>
              <w:jc w:val="center"/>
            </w:pPr>
            <w:r>
              <w:rPr>
                <w:b/>
                <w:bCs/>
                <w:color w:val="FFFFFF"/>
                <w:sz w:val="18"/>
                <w:szCs w:val="18"/>
              </w:rPr>
              <w:t>1</w:t>
            </w:r>
          </w:p>
        </w:tc>
        <w:tc>
          <w:tcPr>
            <w:tcW w:w="9146" w:type="dxa"/>
            <w:tcBorders>
              <w:top w:val="single" w:sz="4" w:space="0" w:color="CBD5E1"/>
              <w:left w:val="single" w:sz="4" w:space="0" w:color="CBD5E1"/>
              <w:bottom w:val="single" w:sz="4" w:space="0" w:color="CBD5E1"/>
              <w:right w:val="single" w:sz="4" w:space="0" w:color="CBD5E1"/>
            </w:tcBorders>
            <w:shd w:val="clear" w:color="auto" w:fill="F8FAFC"/>
            <w:tcMar>
              <w:top w:w="80" w:type="dxa"/>
              <w:left w:w="180" w:type="dxa"/>
              <w:bottom w:w="80" w:type="dxa"/>
              <w:right w:w="120" w:type="dxa"/>
            </w:tcMar>
          </w:tcPr>
          <w:p w14:paraId="632B2421" w14:textId="77777777" w:rsidR="00390AE2" w:rsidRDefault="00000000">
            <w:r>
              <w:rPr>
                <w:b/>
                <w:bCs/>
                <w:color w:val="1B3A52"/>
              </w:rPr>
              <w:t>Introduction</w:t>
            </w:r>
          </w:p>
        </w:tc>
      </w:tr>
      <w:tr w:rsidR="00390AE2" w14:paraId="08B51A60"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B8A8A"/>
            <w:tcMar>
              <w:top w:w="80" w:type="dxa"/>
              <w:left w:w="120" w:type="dxa"/>
              <w:bottom w:w="80" w:type="dxa"/>
              <w:right w:w="80" w:type="dxa"/>
            </w:tcMar>
          </w:tcPr>
          <w:p w14:paraId="28F90584" w14:textId="77777777" w:rsidR="00390AE2" w:rsidRDefault="00000000">
            <w:pPr>
              <w:jc w:val="center"/>
            </w:pPr>
            <w:r>
              <w:rPr>
                <w:b/>
                <w:bCs/>
                <w:color w:val="FFFFFF"/>
                <w:sz w:val="18"/>
                <w:szCs w:val="18"/>
              </w:rPr>
              <w:t>2</w:t>
            </w:r>
          </w:p>
        </w:tc>
        <w:tc>
          <w:tcPr>
            <w:tcW w:w="9146" w:type="dxa"/>
            <w:tcBorders>
              <w:top w:val="single" w:sz="4" w:space="0" w:color="CBD5E1"/>
              <w:left w:val="single" w:sz="4" w:space="0" w:color="CBD5E1"/>
              <w:bottom w:val="single" w:sz="4" w:space="0" w:color="CBD5E1"/>
              <w:right w:val="single" w:sz="4" w:space="0" w:color="CBD5E1"/>
            </w:tcBorders>
            <w:shd w:val="clear" w:color="auto" w:fill="FFFFFF"/>
            <w:tcMar>
              <w:top w:w="80" w:type="dxa"/>
              <w:left w:w="180" w:type="dxa"/>
              <w:bottom w:w="80" w:type="dxa"/>
              <w:right w:w="120" w:type="dxa"/>
            </w:tcMar>
          </w:tcPr>
          <w:p w14:paraId="74555544" w14:textId="77777777" w:rsidR="00390AE2" w:rsidRDefault="00000000">
            <w:r>
              <w:rPr>
                <w:b/>
                <w:bCs/>
                <w:color w:val="1B3A52"/>
              </w:rPr>
              <w:t>Indications for Aspiration &amp; Injection</w:t>
            </w:r>
          </w:p>
        </w:tc>
      </w:tr>
      <w:tr w:rsidR="00390AE2" w14:paraId="0E9B3C0C"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B3A52"/>
            <w:tcMar>
              <w:top w:w="80" w:type="dxa"/>
              <w:left w:w="120" w:type="dxa"/>
              <w:bottom w:w="80" w:type="dxa"/>
              <w:right w:w="80" w:type="dxa"/>
            </w:tcMar>
          </w:tcPr>
          <w:p w14:paraId="26C19457" w14:textId="77777777" w:rsidR="00390AE2" w:rsidRDefault="00000000">
            <w:pPr>
              <w:jc w:val="center"/>
            </w:pPr>
            <w:r>
              <w:rPr>
                <w:b/>
                <w:bCs/>
                <w:color w:val="FFFFFF"/>
                <w:sz w:val="18"/>
                <w:szCs w:val="18"/>
              </w:rPr>
              <w:t>3</w:t>
            </w:r>
          </w:p>
        </w:tc>
        <w:tc>
          <w:tcPr>
            <w:tcW w:w="9146" w:type="dxa"/>
            <w:tcBorders>
              <w:top w:val="single" w:sz="4" w:space="0" w:color="CBD5E1"/>
              <w:left w:val="single" w:sz="4" w:space="0" w:color="CBD5E1"/>
              <w:bottom w:val="single" w:sz="4" w:space="0" w:color="CBD5E1"/>
              <w:right w:val="single" w:sz="4" w:space="0" w:color="CBD5E1"/>
            </w:tcBorders>
            <w:shd w:val="clear" w:color="auto" w:fill="F8FAFC"/>
            <w:tcMar>
              <w:top w:w="80" w:type="dxa"/>
              <w:left w:w="180" w:type="dxa"/>
              <w:bottom w:w="80" w:type="dxa"/>
              <w:right w:w="120" w:type="dxa"/>
            </w:tcMar>
          </w:tcPr>
          <w:p w14:paraId="6B64A1AC" w14:textId="77777777" w:rsidR="00390AE2" w:rsidRDefault="00000000">
            <w:r>
              <w:rPr>
                <w:b/>
                <w:bCs/>
                <w:color w:val="1B3A52"/>
              </w:rPr>
              <w:t>Synovial Fluid Analysis</w:t>
            </w:r>
          </w:p>
        </w:tc>
      </w:tr>
      <w:tr w:rsidR="00390AE2" w14:paraId="14058340"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B8A8A"/>
            <w:tcMar>
              <w:top w:w="80" w:type="dxa"/>
              <w:left w:w="120" w:type="dxa"/>
              <w:bottom w:w="80" w:type="dxa"/>
              <w:right w:w="80" w:type="dxa"/>
            </w:tcMar>
          </w:tcPr>
          <w:p w14:paraId="745B55DF" w14:textId="77777777" w:rsidR="00390AE2" w:rsidRDefault="00000000">
            <w:pPr>
              <w:jc w:val="center"/>
            </w:pPr>
            <w:r>
              <w:rPr>
                <w:b/>
                <w:bCs/>
                <w:color w:val="FFFFFF"/>
                <w:sz w:val="18"/>
                <w:szCs w:val="18"/>
              </w:rPr>
              <w:t>4</w:t>
            </w:r>
          </w:p>
        </w:tc>
        <w:tc>
          <w:tcPr>
            <w:tcW w:w="9146" w:type="dxa"/>
            <w:tcBorders>
              <w:top w:val="single" w:sz="4" w:space="0" w:color="CBD5E1"/>
              <w:left w:val="single" w:sz="4" w:space="0" w:color="CBD5E1"/>
              <w:bottom w:val="single" w:sz="4" w:space="0" w:color="CBD5E1"/>
              <w:right w:val="single" w:sz="4" w:space="0" w:color="CBD5E1"/>
            </w:tcBorders>
            <w:shd w:val="clear" w:color="auto" w:fill="FFFFFF"/>
            <w:tcMar>
              <w:top w:w="80" w:type="dxa"/>
              <w:left w:w="180" w:type="dxa"/>
              <w:bottom w:w="80" w:type="dxa"/>
              <w:right w:w="120" w:type="dxa"/>
            </w:tcMar>
          </w:tcPr>
          <w:p w14:paraId="6EFA5115" w14:textId="77777777" w:rsidR="00390AE2" w:rsidRDefault="00000000">
            <w:r>
              <w:rPr>
                <w:b/>
                <w:bCs/>
                <w:color w:val="1B3A52"/>
              </w:rPr>
              <w:t>Contraindications</w:t>
            </w:r>
          </w:p>
        </w:tc>
      </w:tr>
      <w:tr w:rsidR="00390AE2" w14:paraId="56D3C179"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B3A52"/>
            <w:tcMar>
              <w:top w:w="80" w:type="dxa"/>
              <w:left w:w="120" w:type="dxa"/>
              <w:bottom w:w="80" w:type="dxa"/>
              <w:right w:w="80" w:type="dxa"/>
            </w:tcMar>
          </w:tcPr>
          <w:p w14:paraId="3288E207" w14:textId="77777777" w:rsidR="00390AE2" w:rsidRDefault="00000000">
            <w:pPr>
              <w:jc w:val="center"/>
            </w:pPr>
            <w:r>
              <w:rPr>
                <w:b/>
                <w:bCs/>
                <w:color w:val="FFFFFF"/>
                <w:sz w:val="18"/>
                <w:szCs w:val="18"/>
              </w:rPr>
              <w:t>5</w:t>
            </w:r>
          </w:p>
        </w:tc>
        <w:tc>
          <w:tcPr>
            <w:tcW w:w="9146" w:type="dxa"/>
            <w:tcBorders>
              <w:top w:val="single" w:sz="4" w:space="0" w:color="CBD5E1"/>
              <w:left w:val="single" w:sz="4" w:space="0" w:color="CBD5E1"/>
              <w:bottom w:val="single" w:sz="4" w:space="0" w:color="CBD5E1"/>
              <w:right w:val="single" w:sz="4" w:space="0" w:color="CBD5E1"/>
            </w:tcBorders>
            <w:shd w:val="clear" w:color="auto" w:fill="F8FAFC"/>
            <w:tcMar>
              <w:top w:w="80" w:type="dxa"/>
              <w:left w:w="180" w:type="dxa"/>
              <w:bottom w:w="80" w:type="dxa"/>
              <w:right w:w="120" w:type="dxa"/>
            </w:tcMar>
          </w:tcPr>
          <w:p w14:paraId="4853EDBA" w14:textId="77777777" w:rsidR="00390AE2" w:rsidRDefault="00000000">
            <w:r>
              <w:rPr>
                <w:b/>
                <w:bCs/>
                <w:color w:val="1B3A52"/>
              </w:rPr>
              <w:t>Equipment &amp; Procedure</w:t>
            </w:r>
          </w:p>
        </w:tc>
      </w:tr>
      <w:tr w:rsidR="00390AE2" w14:paraId="73DE91D3"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B8A8A"/>
            <w:tcMar>
              <w:top w:w="80" w:type="dxa"/>
              <w:left w:w="120" w:type="dxa"/>
              <w:bottom w:w="80" w:type="dxa"/>
              <w:right w:w="80" w:type="dxa"/>
            </w:tcMar>
          </w:tcPr>
          <w:p w14:paraId="14B2350C" w14:textId="77777777" w:rsidR="00390AE2" w:rsidRDefault="00000000">
            <w:pPr>
              <w:jc w:val="center"/>
            </w:pPr>
            <w:r>
              <w:rPr>
                <w:b/>
                <w:bCs/>
                <w:color w:val="FFFFFF"/>
                <w:sz w:val="18"/>
                <w:szCs w:val="18"/>
              </w:rPr>
              <w:t>6</w:t>
            </w:r>
          </w:p>
        </w:tc>
        <w:tc>
          <w:tcPr>
            <w:tcW w:w="9146" w:type="dxa"/>
            <w:tcBorders>
              <w:top w:val="single" w:sz="4" w:space="0" w:color="CBD5E1"/>
              <w:left w:val="single" w:sz="4" w:space="0" w:color="CBD5E1"/>
              <w:bottom w:val="single" w:sz="4" w:space="0" w:color="CBD5E1"/>
              <w:right w:val="single" w:sz="4" w:space="0" w:color="CBD5E1"/>
            </w:tcBorders>
            <w:shd w:val="clear" w:color="auto" w:fill="FFFFFF"/>
            <w:tcMar>
              <w:top w:w="80" w:type="dxa"/>
              <w:left w:w="180" w:type="dxa"/>
              <w:bottom w:w="80" w:type="dxa"/>
              <w:right w:w="120" w:type="dxa"/>
            </w:tcMar>
          </w:tcPr>
          <w:p w14:paraId="13A9CB07" w14:textId="77777777" w:rsidR="00390AE2" w:rsidRDefault="00000000">
            <w:r>
              <w:rPr>
                <w:b/>
                <w:bCs/>
                <w:color w:val="1B3A52"/>
              </w:rPr>
              <w:t>Corticosteroid Principles &amp; Complications</w:t>
            </w:r>
          </w:p>
        </w:tc>
      </w:tr>
      <w:tr w:rsidR="00390AE2" w14:paraId="072E984B"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B3A52"/>
            <w:tcMar>
              <w:top w:w="80" w:type="dxa"/>
              <w:left w:w="120" w:type="dxa"/>
              <w:bottom w:w="80" w:type="dxa"/>
              <w:right w:w="80" w:type="dxa"/>
            </w:tcMar>
          </w:tcPr>
          <w:p w14:paraId="3C8D3407" w14:textId="77777777" w:rsidR="00390AE2" w:rsidRDefault="00000000">
            <w:pPr>
              <w:jc w:val="center"/>
            </w:pPr>
            <w:r>
              <w:rPr>
                <w:b/>
                <w:bCs/>
                <w:color w:val="FFFFFF"/>
                <w:sz w:val="18"/>
                <w:szCs w:val="18"/>
              </w:rPr>
              <w:t>7</w:t>
            </w:r>
          </w:p>
        </w:tc>
        <w:tc>
          <w:tcPr>
            <w:tcW w:w="9146" w:type="dxa"/>
            <w:tcBorders>
              <w:top w:val="single" w:sz="4" w:space="0" w:color="CBD5E1"/>
              <w:left w:val="single" w:sz="4" w:space="0" w:color="CBD5E1"/>
              <w:bottom w:val="single" w:sz="4" w:space="0" w:color="CBD5E1"/>
              <w:right w:val="single" w:sz="4" w:space="0" w:color="CBD5E1"/>
            </w:tcBorders>
            <w:shd w:val="clear" w:color="auto" w:fill="F8FAFC"/>
            <w:tcMar>
              <w:top w:w="80" w:type="dxa"/>
              <w:left w:w="180" w:type="dxa"/>
              <w:bottom w:w="80" w:type="dxa"/>
              <w:right w:w="120" w:type="dxa"/>
            </w:tcMar>
          </w:tcPr>
          <w:p w14:paraId="1011CB6F" w14:textId="77777777" w:rsidR="00390AE2" w:rsidRDefault="00000000">
            <w:pPr>
              <w:spacing w:after="20"/>
            </w:pPr>
            <w:r>
              <w:rPr>
                <w:b/>
                <w:bCs/>
                <w:color w:val="1B3A52"/>
              </w:rPr>
              <w:t>The Wrist &amp; Hand</w:t>
            </w:r>
          </w:p>
          <w:p w14:paraId="15B62177" w14:textId="77777777" w:rsidR="00390AE2" w:rsidRDefault="00000000">
            <w:r>
              <w:rPr>
                <w:i/>
                <w:iCs/>
                <w:color w:val="6B7280"/>
                <w:sz w:val="17"/>
                <w:szCs w:val="17"/>
              </w:rPr>
              <w:t xml:space="preserve">MCP · PIP · Trigger Finger · De </w:t>
            </w:r>
            <w:proofErr w:type="spellStart"/>
            <w:r>
              <w:rPr>
                <w:i/>
                <w:iCs/>
                <w:color w:val="6B7280"/>
                <w:sz w:val="17"/>
                <w:szCs w:val="17"/>
              </w:rPr>
              <w:t>Quervain's</w:t>
            </w:r>
            <w:proofErr w:type="spellEnd"/>
            <w:r>
              <w:rPr>
                <w:i/>
                <w:iCs/>
                <w:color w:val="6B7280"/>
                <w:sz w:val="17"/>
                <w:szCs w:val="17"/>
              </w:rPr>
              <w:t xml:space="preserve"> · Carpal Tunnel · CMC · Wrist · Ganglia</w:t>
            </w:r>
          </w:p>
        </w:tc>
      </w:tr>
      <w:tr w:rsidR="00390AE2" w14:paraId="2A0BEDFB"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B8A8A"/>
            <w:tcMar>
              <w:top w:w="80" w:type="dxa"/>
              <w:left w:w="120" w:type="dxa"/>
              <w:bottom w:w="80" w:type="dxa"/>
              <w:right w:w="80" w:type="dxa"/>
            </w:tcMar>
          </w:tcPr>
          <w:p w14:paraId="2195225B" w14:textId="77777777" w:rsidR="00390AE2" w:rsidRDefault="00000000">
            <w:pPr>
              <w:jc w:val="center"/>
            </w:pPr>
            <w:r>
              <w:rPr>
                <w:b/>
                <w:bCs/>
                <w:color w:val="FFFFFF"/>
                <w:sz w:val="18"/>
                <w:szCs w:val="18"/>
              </w:rPr>
              <w:t>8</w:t>
            </w:r>
          </w:p>
        </w:tc>
        <w:tc>
          <w:tcPr>
            <w:tcW w:w="9146" w:type="dxa"/>
            <w:tcBorders>
              <w:top w:val="single" w:sz="4" w:space="0" w:color="CBD5E1"/>
              <w:left w:val="single" w:sz="4" w:space="0" w:color="CBD5E1"/>
              <w:bottom w:val="single" w:sz="4" w:space="0" w:color="CBD5E1"/>
              <w:right w:val="single" w:sz="4" w:space="0" w:color="CBD5E1"/>
            </w:tcBorders>
            <w:shd w:val="clear" w:color="auto" w:fill="FFFFFF"/>
            <w:tcMar>
              <w:top w:w="80" w:type="dxa"/>
              <w:left w:w="180" w:type="dxa"/>
              <w:bottom w:w="80" w:type="dxa"/>
              <w:right w:w="120" w:type="dxa"/>
            </w:tcMar>
          </w:tcPr>
          <w:p w14:paraId="7153BDDE" w14:textId="77777777" w:rsidR="00390AE2" w:rsidRDefault="00000000">
            <w:pPr>
              <w:spacing w:after="20"/>
            </w:pPr>
            <w:r>
              <w:rPr>
                <w:b/>
                <w:bCs/>
                <w:color w:val="1B3A52"/>
              </w:rPr>
              <w:t>The Elbow</w:t>
            </w:r>
          </w:p>
          <w:p w14:paraId="34A7F26C" w14:textId="77777777" w:rsidR="00390AE2" w:rsidRDefault="00000000">
            <w:r>
              <w:rPr>
                <w:i/>
                <w:iCs/>
                <w:color w:val="6B7280"/>
                <w:sz w:val="17"/>
                <w:szCs w:val="17"/>
              </w:rPr>
              <w:t>Elbow Joint · Olecranon Bursa · Tennis Elbow</w:t>
            </w:r>
          </w:p>
        </w:tc>
      </w:tr>
      <w:tr w:rsidR="00390AE2" w14:paraId="3409311E"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B3A52"/>
            <w:tcMar>
              <w:top w:w="80" w:type="dxa"/>
              <w:left w:w="120" w:type="dxa"/>
              <w:bottom w:w="80" w:type="dxa"/>
              <w:right w:w="80" w:type="dxa"/>
            </w:tcMar>
          </w:tcPr>
          <w:p w14:paraId="26B57A5F" w14:textId="77777777" w:rsidR="00390AE2" w:rsidRDefault="00000000">
            <w:pPr>
              <w:jc w:val="center"/>
            </w:pPr>
            <w:r>
              <w:rPr>
                <w:b/>
                <w:bCs/>
                <w:color w:val="FFFFFF"/>
                <w:sz w:val="18"/>
                <w:szCs w:val="18"/>
              </w:rPr>
              <w:t>9</w:t>
            </w:r>
          </w:p>
        </w:tc>
        <w:tc>
          <w:tcPr>
            <w:tcW w:w="9146" w:type="dxa"/>
            <w:tcBorders>
              <w:top w:val="single" w:sz="4" w:space="0" w:color="CBD5E1"/>
              <w:left w:val="single" w:sz="4" w:space="0" w:color="CBD5E1"/>
              <w:bottom w:val="single" w:sz="4" w:space="0" w:color="CBD5E1"/>
              <w:right w:val="single" w:sz="4" w:space="0" w:color="CBD5E1"/>
            </w:tcBorders>
            <w:shd w:val="clear" w:color="auto" w:fill="F8FAFC"/>
            <w:tcMar>
              <w:top w:w="80" w:type="dxa"/>
              <w:left w:w="180" w:type="dxa"/>
              <w:bottom w:w="80" w:type="dxa"/>
              <w:right w:w="120" w:type="dxa"/>
            </w:tcMar>
          </w:tcPr>
          <w:p w14:paraId="1B244D3B" w14:textId="77777777" w:rsidR="00390AE2" w:rsidRDefault="00000000">
            <w:pPr>
              <w:spacing w:after="20"/>
            </w:pPr>
            <w:r>
              <w:rPr>
                <w:b/>
                <w:bCs/>
                <w:color w:val="1B3A52"/>
              </w:rPr>
              <w:t>The Shoulder</w:t>
            </w:r>
          </w:p>
          <w:p w14:paraId="5AB3852F" w14:textId="77777777" w:rsidR="00390AE2" w:rsidRDefault="00000000">
            <w:r>
              <w:rPr>
                <w:i/>
                <w:iCs/>
                <w:color w:val="6B7280"/>
                <w:sz w:val="17"/>
                <w:szCs w:val="17"/>
              </w:rPr>
              <w:t>Glenohumeral · Subacromial Bursa · AC Joint · Bicipital Groove</w:t>
            </w:r>
          </w:p>
        </w:tc>
      </w:tr>
      <w:tr w:rsidR="00390AE2" w14:paraId="4A94A11F"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B8A8A"/>
            <w:tcMar>
              <w:top w:w="80" w:type="dxa"/>
              <w:left w:w="120" w:type="dxa"/>
              <w:bottom w:w="80" w:type="dxa"/>
              <w:right w:w="80" w:type="dxa"/>
            </w:tcMar>
          </w:tcPr>
          <w:p w14:paraId="5FAE2BF4" w14:textId="77777777" w:rsidR="00390AE2" w:rsidRDefault="00000000">
            <w:pPr>
              <w:jc w:val="center"/>
            </w:pPr>
            <w:r>
              <w:rPr>
                <w:b/>
                <w:bCs/>
                <w:color w:val="FFFFFF"/>
                <w:sz w:val="18"/>
                <w:szCs w:val="18"/>
              </w:rPr>
              <w:t>10</w:t>
            </w:r>
          </w:p>
        </w:tc>
        <w:tc>
          <w:tcPr>
            <w:tcW w:w="9146" w:type="dxa"/>
            <w:tcBorders>
              <w:top w:val="single" w:sz="4" w:space="0" w:color="CBD5E1"/>
              <w:left w:val="single" w:sz="4" w:space="0" w:color="CBD5E1"/>
              <w:bottom w:val="single" w:sz="4" w:space="0" w:color="CBD5E1"/>
              <w:right w:val="single" w:sz="4" w:space="0" w:color="CBD5E1"/>
            </w:tcBorders>
            <w:shd w:val="clear" w:color="auto" w:fill="FFFFFF"/>
            <w:tcMar>
              <w:top w:w="80" w:type="dxa"/>
              <w:left w:w="180" w:type="dxa"/>
              <w:bottom w:w="80" w:type="dxa"/>
              <w:right w:w="120" w:type="dxa"/>
            </w:tcMar>
          </w:tcPr>
          <w:p w14:paraId="37D92A99" w14:textId="77777777" w:rsidR="00390AE2" w:rsidRDefault="00000000">
            <w:pPr>
              <w:spacing w:after="20"/>
            </w:pPr>
            <w:r>
              <w:rPr>
                <w:b/>
                <w:bCs/>
                <w:color w:val="1B3A52"/>
              </w:rPr>
              <w:t>The Hip</w:t>
            </w:r>
          </w:p>
          <w:p w14:paraId="21440C32" w14:textId="77777777" w:rsidR="00390AE2" w:rsidRDefault="00000000">
            <w:r>
              <w:rPr>
                <w:i/>
                <w:iCs/>
                <w:color w:val="6B7280"/>
                <w:sz w:val="17"/>
                <w:szCs w:val="17"/>
              </w:rPr>
              <w:t>Hip Joint · Greater Trochanteric Pain · Iliopsoas Bursa</w:t>
            </w:r>
          </w:p>
        </w:tc>
      </w:tr>
      <w:tr w:rsidR="00390AE2" w14:paraId="6A73A986"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B3A52"/>
            <w:tcMar>
              <w:top w:w="80" w:type="dxa"/>
              <w:left w:w="120" w:type="dxa"/>
              <w:bottom w:w="80" w:type="dxa"/>
              <w:right w:w="80" w:type="dxa"/>
            </w:tcMar>
          </w:tcPr>
          <w:p w14:paraId="42F5FCA0" w14:textId="77777777" w:rsidR="00390AE2" w:rsidRDefault="00000000">
            <w:pPr>
              <w:jc w:val="center"/>
            </w:pPr>
            <w:r>
              <w:rPr>
                <w:b/>
                <w:bCs/>
                <w:color w:val="FFFFFF"/>
                <w:sz w:val="18"/>
                <w:szCs w:val="18"/>
              </w:rPr>
              <w:t>11</w:t>
            </w:r>
          </w:p>
        </w:tc>
        <w:tc>
          <w:tcPr>
            <w:tcW w:w="9146" w:type="dxa"/>
            <w:tcBorders>
              <w:top w:val="single" w:sz="4" w:space="0" w:color="CBD5E1"/>
              <w:left w:val="single" w:sz="4" w:space="0" w:color="CBD5E1"/>
              <w:bottom w:val="single" w:sz="4" w:space="0" w:color="CBD5E1"/>
              <w:right w:val="single" w:sz="4" w:space="0" w:color="CBD5E1"/>
            </w:tcBorders>
            <w:shd w:val="clear" w:color="auto" w:fill="F8FAFC"/>
            <w:tcMar>
              <w:top w:w="80" w:type="dxa"/>
              <w:left w:w="180" w:type="dxa"/>
              <w:bottom w:w="80" w:type="dxa"/>
              <w:right w:w="120" w:type="dxa"/>
            </w:tcMar>
          </w:tcPr>
          <w:p w14:paraId="71E96236" w14:textId="77777777" w:rsidR="00390AE2" w:rsidRDefault="00000000">
            <w:pPr>
              <w:spacing w:after="20"/>
            </w:pPr>
            <w:r>
              <w:rPr>
                <w:b/>
                <w:bCs/>
                <w:color w:val="1B3A52"/>
              </w:rPr>
              <w:t>The Knee</w:t>
            </w:r>
          </w:p>
          <w:p w14:paraId="21699486" w14:textId="77777777" w:rsidR="00390AE2" w:rsidRDefault="00000000">
            <w:r>
              <w:rPr>
                <w:i/>
                <w:iCs/>
                <w:color w:val="6B7280"/>
                <w:sz w:val="17"/>
                <w:szCs w:val="17"/>
              </w:rPr>
              <w:t>Knee Joint · Baker's Cyst · Anserine Bursitis</w:t>
            </w:r>
          </w:p>
        </w:tc>
      </w:tr>
      <w:tr w:rsidR="00390AE2" w14:paraId="055A7BF3"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B8A8A"/>
            <w:tcMar>
              <w:top w:w="80" w:type="dxa"/>
              <w:left w:w="120" w:type="dxa"/>
              <w:bottom w:w="80" w:type="dxa"/>
              <w:right w:w="80" w:type="dxa"/>
            </w:tcMar>
          </w:tcPr>
          <w:p w14:paraId="723B7981" w14:textId="77777777" w:rsidR="00390AE2" w:rsidRDefault="00000000">
            <w:pPr>
              <w:jc w:val="center"/>
            </w:pPr>
            <w:r>
              <w:rPr>
                <w:b/>
                <w:bCs/>
                <w:color w:val="FFFFFF"/>
                <w:sz w:val="18"/>
                <w:szCs w:val="18"/>
              </w:rPr>
              <w:t>12</w:t>
            </w:r>
          </w:p>
        </w:tc>
        <w:tc>
          <w:tcPr>
            <w:tcW w:w="9146" w:type="dxa"/>
            <w:tcBorders>
              <w:top w:val="single" w:sz="4" w:space="0" w:color="CBD5E1"/>
              <w:left w:val="single" w:sz="4" w:space="0" w:color="CBD5E1"/>
              <w:bottom w:val="single" w:sz="4" w:space="0" w:color="CBD5E1"/>
              <w:right w:val="single" w:sz="4" w:space="0" w:color="CBD5E1"/>
            </w:tcBorders>
            <w:shd w:val="clear" w:color="auto" w:fill="FFFFFF"/>
            <w:tcMar>
              <w:top w:w="80" w:type="dxa"/>
              <w:left w:w="180" w:type="dxa"/>
              <w:bottom w:w="80" w:type="dxa"/>
              <w:right w:w="120" w:type="dxa"/>
            </w:tcMar>
          </w:tcPr>
          <w:p w14:paraId="6EB1456B" w14:textId="77777777" w:rsidR="00390AE2" w:rsidRDefault="00000000">
            <w:pPr>
              <w:spacing w:after="20"/>
            </w:pPr>
            <w:r>
              <w:rPr>
                <w:b/>
                <w:bCs/>
                <w:color w:val="1B3A52"/>
              </w:rPr>
              <w:t>The Ankle &amp; Foot</w:t>
            </w:r>
          </w:p>
          <w:p w14:paraId="21C107F1" w14:textId="77777777" w:rsidR="00390AE2" w:rsidRDefault="00000000">
            <w:r>
              <w:rPr>
                <w:i/>
                <w:iCs/>
                <w:color w:val="6B7280"/>
                <w:sz w:val="17"/>
                <w:szCs w:val="17"/>
              </w:rPr>
              <w:t>Ankle · Subtalar · Posterior Tibialis · Retrocalcaneal · Plantar Fascia · MTP · Morton's Neuroma</w:t>
            </w:r>
          </w:p>
        </w:tc>
      </w:tr>
      <w:tr w:rsidR="00390AE2" w14:paraId="0E29847B"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B3A52"/>
            <w:tcMar>
              <w:top w:w="80" w:type="dxa"/>
              <w:left w:w="120" w:type="dxa"/>
              <w:bottom w:w="80" w:type="dxa"/>
              <w:right w:w="80" w:type="dxa"/>
            </w:tcMar>
          </w:tcPr>
          <w:p w14:paraId="7B51D31E" w14:textId="77777777" w:rsidR="00390AE2" w:rsidRDefault="00000000">
            <w:pPr>
              <w:jc w:val="center"/>
            </w:pPr>
            <w:r>
              <w:rPr>
                <w:b/>
                <w:bCs/>
                <w:color w:val="FFFFFF"/>
                <w:sz w:val="18"/>
                <w:szCs w:val="18"/>
              </w:rPr>
              <w:t>13</w:t>
            </w:r>
          </w:p>
        </w:tc>
        <w:tc>
          <w:tcPr>
            <w:tcW w:w="9146" w:type="dxa"/>
            <w:tcBorders>
              <w:top w:val="single" w:sz="4" w:space="0" w:color="CBD5E1"/>
              <w:left w:val="single" w:sz="4" w:space="0" w:color="CBD5E1"/>
              <w:bottom w:val="single" w:sz="4" w:space="0" w:color="CBD5E1"/>
              <w:right w:val="single" w:sz="4" w:space="0" w:color="CBD5E1"/>
            </w:tcBorders>
            <w:shd w:val="clear" w:color="auto" w:fill="F8FAFC"/>
            <w:tcMar>
              <w:top w:w="80" w:type="dxa"/>
              <w:left w:w="180" w:type="dxa"/>
              <w:bottom w:w="80" w:type="dxa"/>
              <w:right w:w="120" w:type="dxa"/>
            </w:tcMar>
          </w:tcPr>
          <w:p w14:paraId="0D1D2ECC" w14:textId="77777777" w:rsidR="00390AE2" w:rsidRDefault="00000000">
            <w:pPr>
              <w:spacing w:after="20"/>
            </w:pPr>
            <w:r>
              <w:rPr>
                <w:b/>
                <w:bCs/>
                <w:color w:val="1B3A52"/>
              </w:rPr>
              <w:t>The Spine</w:t>
            </w:r>
          </w:p>
          <w:p w14:paraId="3398F631" w14:textId="77777777" w:rsidR="00390AE2" w:rsidRDefault="00000000">
            <w:r>
              <w:rPr>
                <w:i/>
                <w:iCs/>
                <w:color w:val="6B7280"/>
                <w:sz w:val="17"/>
                <w:szCs w:val="17"/>
              </w:rPr>
              <w:t>Interspinous Ligaments</w:t>
            </w:r>
          </w:p>
        </w:tc>
      </w:tr>
      <w:tr w:rsidR="00390AE2" w14:paraId="33F0359C"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B8A8A"/>
            <w:tcMar>
              <w:top w:w="80" w:type="dxa"/>
              <w:left w:w="120" w:type="dxa"/>
              <w:bottom w:w="80" w:type="dxa"/>
              <w:right w:w="80" w:type="dxa"/>
            </w:tcMar>
          </w:tcPr>
          <w:p w14:paraId="69CC0B84" w14:textId="77777777" w:rsidR="00390AE2" w:rsidRDefault="00000000">
            <w:pPr>
              <w:jc w:val="center"/>
            </w:pPr>
            <w:r>
              <w:rPr>
                <w:b/>
                <w:bCs/>
                <w:color w:val="FFFFFF"/>
                <w:sz w:val="18"/>
                <w:szCs w:val="18"/>
              </w:rPr>
              <w:t>14</w:t>
            </w:r>
          </w:p>
        </w:tc>
        <w:tc>
          <w:tcPr>
            <w:tcW w:w="9146" w:type="dxa"/>
            <w:tcBorders>
              <w:top w:val="single" w:sz="4" w:space="0" w:color="CBD5E1"/>
              <w:left w:val="single" w:sz="4" w:space="0" w:color="CBD5E1"/>
              <w:bottom w:val="single" w:sz="4" w:space="0" w:color="CBD5E1"/>
              <w:right w:val="single" w:sz="4" w:space="0" w:color="CBD5E1"/>
            </w:tcBorders>
            <w:shd w:val="clear" w:color="auto" w:fill="FFFFFF"/>
            <w:tcMar>
              <w:top w:w="80" w:type="dxa"/>
              <w:left w:w="180" w:type="dxa"/>
              <w:bottom w:w="80" w:type="dxa"/>
              <w:right w:w="120" w:type="dxa"/>
            </w:tcMar>
          </w:tcPr>
          <w:p w14:paraId="53E2C6EE" w14:textId="77777777" w:rsidR="00390AE2" w:rsidRDefault="00000000">
            <w:pPr>
              <w:spacing w:after="20"/>
            </w:pPr>
            <w:r>
              <w:rPr>
                <w:b/>
                <w:bCs/>
                <w:color w:val="1B3A52"/>
              </w:rPr>
              <w:t>Summary Safety Reference</w:t>
            </w:r>
          </w:p>
          <w:p w14:paraId="3DF67B97" w14:textId="77777777" w:rsidR="00390AE2" w:rsidRDefault="00000000">
            <w:r>
              <w:rPr>
                <w:i/>
                <w:iCs/>
                <w:color w:val="6B7280"/>
                <w:sz w:val="17"/>
                <w:szCs w:val="17"/>
              </w:rPr>
              <w:t>Red Flags · Frequency Limits · Quick Dose Reference</w:t>
            </w:r>
          </w:p>
        </w:tc>
      </w:tr>
      <w:tr w:rsidR="00390AE2" w14:paraId="3C8CEC51"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B3A52"/>
            <w:tcMar>
              <w:top w:w="80" w:type="dxa"/>
              <w:left w:w="120" w:type="dxa"/>
              <w:bottom w:w="80" w:type="dxa"/>
              <w:right w:w="80" w:type="dxa"/>
            </w:tcMar>
          </w:tcPr>
          <w:p w14:paraId="21456EC6" w14:textId="77777777" w:rsidR="00390AE2" w:rsidRDefault="00000000">
            <w:pPr>
              <w:jc w:val="center"/>
            </w:pPr>
            <w:r>
              <w:rPr>
                <w:b/>
                <w:bCs/>
                <w:color w:val="FFFFFF"/>
                <w:sz w:val="18"/>
                <w:szCs w:val="18"/>
              </w:rPr>
              <w:t>15</w:t>
            </w:r>
          </w:p>
        </w:tc>
        <w:tc>
          <w:tcPr>
            <w:tcW w:w="9146" w:type="dxa"/>
            <w:tcBorders>
              <w:top w:val="single" w:sz="4" w:space="0" w:color="CBD5E1"/>
              <w:left w:val="single" w:sz="4" w:space="0" w:color="CBD5E1"/>
              <w:bottom w:val="single" w:sz="4" w:space="0" w:color="CBD5E1"/>
              <w:right w:val="single" w:sz="4" w:space="0" w:color="CBD5E1"/>
            </w:tcBorders>
            <w:shd w:val="clear" w:color="auto" w:fill="F8FAFC"/>
            <w:tcMar>
              <w:top w:w="80" w:type="dxa"/>
              <w:left w:w="180" w:type="dxa"/>
              <w:bottom w:w="80" w:type="dxa"/>
              <w:right w:w="120" w:type="dxa"/>
            </w:tcMar>
          </w:tcPr>
          <w:p w14:paraId="7FB7783E" w14:textId="77777777" w:rsidR="00390AE2" w:rsidRDefault="00000000">
            <w:r>
              <w:rPr>
                <w:b/>
                <w:bCs/>
                <w:color w:val="1B3A52"/>
              </w:rPr>
              <w:t>References &amp; Guidance Sources</w:t>
            </w:r>
          </w:p>
        </w:tc>
      </w:tr>
    </w:tbl>
    <w:p w14:paraId="0552BAC4" w14:textId="77777777" w:rsidR="00390AE2" w:rsidRDefault="00390AE2">
      <w:pPr>
        <w:spacing w:before="40"/>
      </w:pPr>
    </w:p>
    <w:p w14:paraId="51D3B4CA" w14:textId="77777777" w:rsidR="00390AE2" w:rsidRDefault="00000000">
      <w:r>
        <w:br w:type="page"/>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368A3DFC"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41CB7D14" w14:textId="77777777" w:rsidR="00390AE2" w:rsidRDefault="00000000">
            <w:r>
              <w:rPr>
                <w:b/>
                <w:bCs/>
                <w:color w:val="FFFFFF"/>
                <w:sz w:val="32"/>
                <w:szCs w:val="32"/>
              </w:rPr>
              <w:lastRenderedPageBreak/>
              <w:t>Introduction</w:t>
            </w:r>
          </w:p>
        </w:tc>
      </w:tr>
    </w:tbl>
    <w:p w14:paraId="7078BE97" w14:textId="77777777" w:rsidR="00390AE2" w:rsidRDefault="00390AE2">
      <w:pPr>
        <w:spacing w:before="60"/>
      </w:pPr>
    </w:p>
    <w:p w14:paraId="6334A316" w14:textId="77777777" w:rsidR="00390AE2" w:rsidRDefault="00000000">
      <w:pPr>
        <w:spacing w:before="60" w:after="60"/>
      </w:pPr>
      <w:r>
        <w:t>Joint and soft tissue injections are a valuable skill in UK primary care. They are used both to diagnose musculoskeletal conditions and to deliver targeted anti-inflammatory treatment.</w:t>
      </w:r>
    </w:p>
    <w:p w14:paraId="7561631F" w14:textId="77777777" w:rsidR="00390AE2" w:rsidRDefault="00000000">
      <w:pPr>
        <w:spacing w:before="80" w:after="60"/>
      </w:pPr>
      <w:r>
        <w:t>This guide covers the principles, safety requirements, technique, and specific anatomical protocols needed for competent, safe practice.</w:t>
      </w:r>
    </w:p>
    <w:p w14:paraId="34249E30" w14:textId="77777777" w:rsidR="00390AE2" w:rsidRDefault="00000000">
      <w:pPr>
        <w:spacing w:before="80" w:after="80"/>
      </w:pPr>
      <w:r>
        <w:t>The fundamental principles for entering a joint and for injecting periarticular structures are broadly similar. Both rely on accurate anatomical knowledge, rigorous aseptic technique, appropriate patient selection, and clear aftercare instruction.</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0108B88B" w14:textId="77777777">
        <w:tblPrEx>
          <w:tblCellMar>
            <w:top w:w="0" w:type="dxa"/>
            <w:bottom w:w="0" w:type="dxa"/>
          </w:tblCellMar>
        </w:tblPrEx>
        <w:tc>
          <w:tcPr>
            <w:tcW w:w="9746" w:type="dxa"/>
            <w:tcBorders>
              <w:top w:val="single" w:sz="12" w:space="0" w:color="0B8A8A"/>
              <w:left w:val="single" w:sz="28" w:space="0" w:color="0B8A8A"/>
              <w:bottom w:val="single" w:sz="12" w:space="0" w:color="0B8A8A"/>
              <w:right w:val="single" w:sz="12" w:space="0" w:color="0B8A8A"/>
            </w:tcBorders>
            <w:shd w:val="clear" w:color="auto" w:fill="EFF6FF"/>
            <w:tcMar>
              <w:top w:w="140" w:type="dxa"/>
              <w:left w:w="220" w:type="dxa"/>
              <w:bottom w:w="140" w:type="dxa"/>
              <w:right w:w="220" w:type="dxa"/>
            </w:tcMar>
          </w:tcPr>
          <w:p w14:paraId="7BD57013" w14:textId="77777777" w:rsidR="00390AE2" w:rsidRDefault="00000000">
            <w:pPr>
              <w:spacing w:after="80"/>
            </w:pPr>
            <w:r>
              <w:rPr>
                <w:b/>
                <w:bCs/>
                <w:color w:val="0B8A8A"/>
                <w:sz w:val="18"/>
                <w:szCs w:val="18"/>
              </w:rPr>
              <w:t>NICE NG226 (2022) — KEY POINTS</w:t>
            </w:r>
          </w:p>
          <w:p w14:paraId="46398489" w14:textId="77777777" w:rsidR="00390AE2" w:rsidRDefault="00000000">
            <w:pPr>
              <w:spacing w:after="50"/>
            </w:pPr>
            <w:r>
              <w:rPr>
                <w:color w:val="1B3A52"/>
                <w:sz w:val="19"/>
                <w:szCs w:val="19"/>
              </w:rPr>
              <w:t>NICE NG226 (2022) recommends intra-articular corticosteroid injections for osteoarthritis when other pharmacological treatments are ineffective or unsuitable — or to support therapeutic exercise.</w:t>
            </w:r>
          </w:p>
          <w:p w14:paraId="279E4A85" w14:textId="77777777" w:rsidR="00390AE2" w:rsidRDefault="00000000">
            <w:pPr>
              <w:spacing w:after="50"/>
            </w:pPr>
            <w:r>
              <w:rPr>
                <w:color w:val="1B3A52"/>
                <w:sz w:val="19"/>
                <w:szCs w:val="19"/>
              </w:rPr>
              <w:t>Patients must be advised that these injections provide short-term relief only — typically 2 to 10 weeks.</w:t>
            </w:r>
          </w:p>
          <w:p w14:paraId="7E9DA67B" w14:textId="77777777" w:rsidR="00390AE2" w:rsidRDefault="00000000">
            <w:pPr>
              <w:spacing w:after="50"/>
            </w:pPr>
            <w:r>
              <w:rPr>
                <w:color w:val="1B3A52"/>
                <w:sz w:val="19"/>
                <w:szCs w:val="19"/>
              </w:rPr>
              <w:t>Hyaluronic acid (</w:t>
            </w:r>
            <w:proofErr w:type="spellStart"/>
            <w:r>
              <w:rPr>
                <w:color w:val="1B3A52"/>
                <w:sz w:val="19"/>
                <w:szCs w:val="19"/>
              </w:rPr>
              <w:t>viscosupplementation</w:t>
            </w:r>
            <w:proofErr w:type="spellEnd"/>
            <w:r>
              <w:rPr>
                <w:color w:val="1B3A52"/>
                <w:sz w:val="19"/>
                <w:szCs w:val="19"/>
              </w:rPr>
              <w:t>) injections must NOT be offered for OA. NICE explicitly recommends against this.</w:t>
            </w:r>
          </w:p>
        </w:tc>
      </w:tr>
    </w:tbl>
    <w:p w14:paraId="469C69B6" w14:textId="77777777" w:rsidR="00390AE2" w:rsidRDefault="00390AE2">
      <w:pPr>
        <w:spacing w:before="40"/>
      </w:pPr>
    </w:p>
    <w:p w14:paraId="79905451"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56E92A09"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30FF8DA1" w14:textId="77777777" w:rsidR="00390AE2" w:rsidRDefault="00000000">
            <w:r>
              <w:rPr>
                <w:b/>
                <w:bCs/>
                <w:color w:val="FFFFFF"/>
                <w:sz w:val="32"/>
                <w:szCs w:val="32"/>
              </w:rPr>
              <w:t>Indications for Aspiration &amp; Injection</w:t>
            </w:r>
          </w:p>
        </w:tc>
      </w:tr>
    </w:tbl>
    <w:p w14:paraId="49FE7F39"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26F5B086"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43639363"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5E1A0319" w14:textId="77777777" w:rsidR="00390AE2" w:rsidRDefault="00000000">
            <w:r>
              <w:rPr>
                <w:b/>
                <w:bCs/>
                <w:color w:val="0B8A8A"/>
                <w:sz w:val="26"/>
                <w:szCs w:val="26"/>
              </w:rPr>
              <w:t>When to Aspirate</w:t>
            </w:r>
          </w:p>
        </w:tc>
      </w:tr>
    </w:tbl>
    <w:p w14:paraId="3A81C15F" w14:textId="77777777" w:rsidR="00390AE2" w:rsidRDefault="00390AE2">
      <w:pPr>
        <w:spacing w:before="40"/>
      </w:pPr>
    </w:p>
    <w:p w14:paraId="1EE4384C" w14:textId="77777777" w:rsidR="00390AE2" w:rsidRDefault="00000000">
      <w:pPr>
        <w:spacing w:before="60" w:after="80"/>
      </w:pPr>
      <w:r>
        <w:t xml:space="preserve">Synovial fluid analysis is the most reliable tool for distinguishing inflammatory from non-inflammatory joint disease. You must aspirate whenever infection, crystal arthropathy, or </w:t>
      </w:r>
      <w:proofErr w:type="spellStart"/>
      <w:r>
        <w:t>haemarthrosis</w:t>
      </w:r>
      <w:proofErr w:type="spellEnd"/>
      <w:r>
        <w:t xml:space="preserve"> is suspected.</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77DED726" w14:textId="77777777">
        <w:tblPrEx>
          <w:tblCellMar>
            <w:top w:w="0" w:type="dxa"/>
            <w:bottom w:w="0" w:type="dxa"/>
          </w:tblCellMar>
        </w:tblPrEx>
        <w:tc>
          <w:tcPr>
            <w:tcW w:w="9746" w:type="dxa"/>
            <w:tcBorders>
              <w:top w:val="single" w:sz="12" w:space="0" w:color="9B1C1C"/>
              <w:left w:val="single" w:sz="28" w:space="0" w:color="9B1C1C"/>
              <w:bottom w:val="single" w:sz="12" w:space="0" w:color="9B1C1C"/>
              <w:right w:val="single" w:sz="12" w:space="0" w:color="9B1C1C"/>
            </w:tcBorders>
            <w:shd w:val="clear" w:color="auto" w:fill="FEE2E2"/>
            <w:tcMar>
              <w:top w:w="140" w:type="dxa"/>
              <w:left w:w="220" w:type="dxa"/>
              <w:bottom w:w="140" w:type="dxa"/>
              <w:right w:w="220" w:type="dxa"/>
            </w:tcMar>
          </w:tcPr>
          <w:p w14:paraId="34508CD5" w14:textId="77777777" w:rsidR="00390AE2" w:rsidRDefault="00000000">
            <w:pPr>
              <w:spacing w:after="80"/>
            </w:pPr>
            <w:proofErr w:type="gramStart"/>
            <w:r>
              <w:rPr>
                <w:b/>
                <w:bCs/>
                <w:color w:val="9B1C1C"/>
                <w:sz w:val="18"/>
                <w:szCs w:val="18"/>
              </w:rPr>
              <w:t>⚠  PATIENT</w:t>
            </w:r>
            <w:proofErr w:type="gramEnd"/>
            <w:r>
              <w:rPr>
                <w:b/>
                <w:bCs/>
                <w:color w:val="9B1C1C"/>
                <w:sz w:val="18"/>
                <w:szCs w:val="18"/>
              </w:rPr>
              <w:t xml:space="preserve"> SAFETY — NEVER ASSUME</w:t>
            </w:r>
          </w:p>
          <w:p w14:paraId="11379D53" w14:textId="77777777" w:rsidR="00390AE2" w:rsidRDefault="00000000">
            <w:pPr>
              <w:spacing w:after="50"/>
            </w:pPr>
            <w:r>
              <w:rPr>
                <w:color w:val="9B1C1C"/>
                <w:sz w:val="19"/>
                <w:szCs w:val="19"/>
              </w:rPr>
              <w:t>Never assume the nature of an effusion without analysis.</w:t>
            </w:r>
          </w:p>
          <w:p w14:paraId="1D9B39BE" w14:textId="77777777" w:rsidR="00390AE2" w:rsidRDefault="00000000">
            <w:pPr>
              <w:spacing w:after="50"/>
            </w:pPr>
            <w:r>
              <w:rPr>
                <w:color w:val="9B1C1C"/>
                <w:sz w:val="19"/>
                <w:szCs w:val="19"/>
              </w:rPr>
              <w:t>Missed septic arthritis occurs when fluid is not sent for microscopy, culture, and crystal analysis.</w:t>
            </w:r>
          </w:p>
          <w:p w14:paraId="6702F787" w14:textId="77777777" w:rsidR="00390AE2" w:rsidRDefault="00000000">
            <w:pPr>
              <w:spacing w:after="50"/>
            </w:pPr>
            <w:r>
              <w:rPr>
                <w:color w:val="9B1C1C"/>
                <w:sz w:val="19"/>
                <w:szCs w:val="19"/>
              </w:rPr>
              <w:t>Crystal synovitis and septic arthritis CAN coexist. A positive crystal result does not exclude infection.</w:t>
            </w:r>
          </w:p>
        </w:tc>
      </w:tr>
    </w:tbl>
    <w:p w14:paraId="3AF0B63B"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73"/>
        <w:gridCol w:w="4873"/>
      </w:tblGrid>
      <w:tr w:rsidR="00390AE2" w14:paraId="3157F8E4" w14:textId="77777777">
        <w:tblPrEx>
          <w:tblCellMar>
            <w:top w:w="0" w:type="dxa"/>
            <w:bottom w:w="0" w:type="dxa"/>
          </w:tblCellMar>
        </w:tblPrEx>
        <w:trPr>
          <w:tblHeader/>
        </w:trPr>
        <w:tc>
          <w:tcPr>
            <w:tcW w:w="4873"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3F8BBECA" w14:textId="77777777" w:rsidR="00390AE2" w:rsidRDefault="00000000">
            <w:r>
              <w:rPr>
                <w:b/>
                <w:bCs/>
                <w:color w:val="FFFFFF"/>
                <w:sz w:val="18"/>
                <w:szCs w:val="18"/>
              </w:rPr>
              <w:t>Aspirate — Indications</w:t>
            </w:r>
          </w:p>
        </w:tc>
        <w:tc>
          <w:tcPr>
            <w:tcW w:w="4873"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6F231E8D" w14:textId="77777777" w:rsidR="00390AE2" w:rsidRDefault="00000000">
            <w:r>
              <w:rPr>
                <w:b/>
                <w:bCs/>
                <w:color w:val="FFFFFF"/>
                <w:sz w:val="18"/>
                <w:szCs w:val="18"/>
              </w:rPr>
              <w:t>Inject — Indications</w:t>
            </w:r>
          </w:p>
        </w:tc>
      </w:tr>
      <w:tr w:rsidR="00390AE2" w14:paraId="3BFB2B49" w14:textId="77777777">
        <w:tblPrEx>
          <w:tblCellMar>
            <w:top w:w="0" w:type="dxa"/>
            <w:bottom w:w="0" w:type="dxa"/>
          </w:tblCellMar>
        </w:tblPrEx>
        <w:tc>
          <w:tcPr>
            <w:tcW w:w="4873"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6F40B70" w14:textId="77777777" w:rsidR="00390AE2" w:rsidRDefault="00000000">
            <w:proofErr w:type="gramStart"/>
            <w:r>
              <w:rPr>
                <w:sz w:val="18"/>
                <w:szCs w:val="18"/>
              </w:rPr>
              <w:t>🔴  Mandatory</w:t>
            </w:r>
            <w:proofErr w:type="gramEnd"/>
            <w:r>
              <w:rPr>
                <w:sz w:val="18"/>
                <w:szCs w:val="18"/>
              </w:rPr>
              <w:t>: suspected septic arthritis</w:t>
            </w:r>
          </w:p>
        </w:tc>
        <w:tc>
          <w:tcPr>
            <w:tcW w:w="4873"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B677B8A" w14:textId="77777777" w:rsidR="00390AE2" w:rsidRDefault="00000000">
            <w:proofErr w:type="gramStart"/>
            <w:r>
              <w:rPr>
                <w:sz w:val="18"/>
                <w:szCs w:val="18"/>
              </w:rPr>
              <w:t>✔  OA</w:t>
            </w:r>
            <w:proofErr w:type="gramEnd"/>
            <w:r>
              <w:rPr>
                <w:sz w:val="18"/>
                <w:szCs w:val="18"/>
              </w:rPr>
              <w:t xml:space="preserve"> — when exercise and analgesics are insufficient</w:t>
            </w:r>
          </w:p>
        </w:tc>
      </w:tr>
      <w:tr w:rsidR="00390AE2" w14:paraId="3DC1F6D5" w14:textId="77777777">
        <w:tblPrEx>
          <w:tblCellMar>
            <w:top w:w="0" w:type="dxa"/>
            <w:bottom w:w="0" w:type="dxa"/>
          </w:tblCellMar>
        </w:tblPrEx>
        <w:tc>
          <w:tcPr>
            <w:tcW w:w="4873"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DB8544E" w14:textId="77777777" w:rsidR="00390AE2" w:rsidRDefault="00000000">
            <w:proofErr w:type="gramStart"/>
            <w:r>
              <w:rPr>
                <w:sz w:val="18"/>
                <w:szCs w:val="18"/>
              </w:rPr>
              <w:t>🟡  Strongly</w:t>
            </w:r>
            <w:proofErr w:type="gramEnd"/>
            <w:r>
              <w:rPr>
                <w:sz w:val="18"/>
                <w:szCs w:val="18"/>
              </w:rPr>
              <w:t xml:space="preserve"> advised: crystal arthropathy (gout/pseudogout) or </w:t>
            </w:r>
            <w:proofErr w:type="spellStart"/>
            <w:r>
              <w:rPr>
                <w:sz w:val="18"/>
                <w:szCs w:val="18"/>
              </w:rPr>
              <w:t>haemarthrosis</w:t>
            </w:r>
            <w:proofErr w:type="spellEnd"/>
          </w:p>
        </w:tc>
        <w:tc>
          <w:tcPr>
            <w:tcW w:w="4873"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3870470" w14:textId="77777777" w:rsidR="00390AE2" w:rsidRDefault="00000000">
            <w:proofErr w:type="gramStart"/>
            <w:r>
              <w:rPr>
                <w:sz w:val="18"/>
                <w:szCs w:val="18"/>
              </w:rPr>
              <w:t>✔  Inflammatory</w:t>
            </w:r>
            <w:proofErr w:type="gramEnd"/>
            <w:r>
              <w:rPr>
                <w:sz w:val="18"/>
                <w:szCs w:val="18"/>
              </w:rPr>
              <w:t xml:space="preserve"> arthritis (RA, PsA, spondyloarthropathy)</w:t>
            </w:r>
          </w:p>
        </w:tc>
      </w:tr>
      <w:tr w:rsidR="00390AE2" w14:paraId="1EBD9E78" w14:textId="77777777">
        <w:tblPrEx>
          <w:tblCellMar>
            <w:top w:w="0" w:type="dxa"/>
            <w:bottom w:w="0" w:type="dxa"/>
          </w:tblCellMar>
        </w:tblPrEx>
        <w:tc>
          <w:tcPr>
            <w:tcW w:w="4873"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527216B" w14:textId="77777777" w:rsidR="00390AE2" w:rsidRDefault="00000000">
            <w:proofErr w:type="gramStart"/>
            <w:r>
              <w:rPr>
                <w:sz w:val="18"/>
                <w:szCs w:val="18"/>
              </w:rPr>
              <w:t>🔵  Differentiate</w:t>
            </w:r>
            <w:proofErr w:type="gramEnd"/>
            <w:r>
              <w:rPr>
                <w:sz w:val="18"/>
                <w:szCs w:val="18"/>
              </w:rPr>
              <w:t xml:space="preserve"> inflammatory from non-inflammatory arthritis</w:t>
            </w:r>
          </w:p>
        </w:tc>
        <w:tc>
          <w:tcPr>
            <w:tcW w:w="4873"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939F01E" w14:textId="77777777" w:rsidR="00390AE2" w:rsidRDefault="00000000">
            <w:proofErr w:type="gramStart"/>
            <w:r>
              <w:rPr>
                <w:sz w:val="18"/>
                <w:szCs w:val="18"/>
              </w:rPr>
              <w:t>✔  Crystal</w:t>
            </w:r>
            <w:proofErr w:type="gramEnd"/>
            <w:r>
              <w:rPr>
                <w:sz w:val="18"/>
                <w:szCs w:val="18"/>
              </w:rPr>
              <w:t>-induced synovitis — to relieve acute inflammation</w:t>
            </w:r>
          </w:p>
        </w:tc>
      </w:tr>
      <w:tr w:rsidR="00390AE2" w14:paraId="4EEE6A2B" w14:textId="77777777">
        <w:tblPrEx>
          <w:tblCellMar>
            <w:top w:w="0" w:type="dxa"/>
            <w:bottom w:w="0" w:type="dxa"/>
          </w:tblCellMar>
        </w:tblPrEx>
        <w:tc>
          <w:tcPr>
            <w:tcW w:w="4873"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6B7526D3" w14:textId="77777777" w:rsidR="00390AE2" w:rsidRDefault="00000000">
            <w:proofErr w:type="gramStart"/>
            <w:r>
              <w:rPr>
                <w:sz w:val="18"/>
                <w:szCs w:val="18"/>
              </w:rPr>
              <w:t>🔵  Relieve</w:t>
            </w:r>
            <w:proofErr w:type="gramEnd"/>
            <w:r>
              <w:rPr>
                <w:sz w:val="18"/>
                <w:szCs w:val="18"/>
              </w:rPr>
              <w:t xml:space="preserve"> tense, painful effusions</w:t>
            </w:r>
          </w:p>
        </w:tc>
        <w:tc>
          <w:tcPr>
            <w:tcW w:w="4873"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085F6690" w14:textId="77777777" w:rsidR="00390AE2" w:rsidRDefault="00000000">
            <w:proofErr w:type="gramStart"/>
            <w:r>
              <w:rPr>
                <w:sz w:val="18"/>
                <w:szCs w:val="18"/>
              </w:rPr>
              <w:t>✔  Periarticular</w:t>
            </w:r>
            <w:proofErr w:type="gramEnd"/>
            <w:r>
              <w:rPr>
                <w:sz w:val="18"/>
                <w:szCs w:val="18"/>
              </w:rPr>
              <w:t xml:space="preserve">: tendinopathy, bursitis, de </w:t>
            </w:r>
            <w:proofErr w:type="spellStart"/>
            <w:r>
              <w:rPr>
                <w:sz w:val="18"/>
                <w:szCs w:val="18"/>
              </w:rPr>
              <w:t>Quervain's</w:t>
            </w:r>
            <w:proofErr w:type="spellEnd"/>
            <w:r>
              <w:rPr>
                <w:sz w:val="18"/>
                <w:szCs w:val="18"/>
              </w:rPr>
              <w:t>, trigger finger, CTS</w:t>
            </w:r>
          </w:p>
        </w:tc>
      </w:tr>
      <w:tr w:rsidR="00390AE2" w14:paraId="426DEFB3" w14:textId="77777777">
        <w:tblPrEx>
          <w:tblCellMar>
            <w:top w:w="0" w:type="dxa"/>
            <w:bottom w:w="0" w:type="dxa"/>
          </w:tblCellMar>
        </w:tblPrEx>
        <w:tc>
          <w:tcPr>
            <w:tcW w:w="4873"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B6BD4E1" w14:textId="77777777" w:rsidR="00390AE2" w:rsidRDefault="00000000">
            <w:proofErr w:type="gramStart"/>
            <w:r>
              <w:rPr>
                <w:sz w:val="18"/>
                <w:szCs w:val="18"/>
              </w:rPr>
              <w:t>🔵  Remove</w:t>
            </w:r>
            <w:proofErr w:type="gramEnd"/>
            <w:r>
              <w:rPr>
                <w:sz w:val="18"/>
                <w:szCs w:val="18"/>
              </w:rPr>
              <w:t xml:space="preserve"> blood or pus from a joint</w:t>
            </w:r>
          </w:p>
        </w:tc>
        <w:tc>
          <w:tcPr>
            <w:tcW w:w="4873"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2D28CBC" w14:textId="77777777" w:rsidR="00390AE2" w:rsidRDefault="00000000">
            <w:proofErr w:type="gramStart"/>
            <w:r>
              <w:rPr>
                <w:sz w:val="18"/>
                <w:szCs w:val="18"/>
              </w:rPr>
              <w:t>✔  Adhesive</w:t>
            </w:r>
            <w:proofErr w:type="gramEnd"/>
            <w:r>
              <w:rPr>
                <w:sz w:val="18"/>
                <w:szCs w:val="18"/>
              </w:rPr>
              <w:t xml:space="preserve"> capsulitis (frozen shoulder) — in the painful phase</w:t>
            </w:r>
          </w:p>
        </w:tc>
      </w:tr>
      <w:tr w:rsidR="00390AE2" w14:paraId="56CBB2FC" w14:textId="77777777">
        <w:tblPrEx>
          <w:tblCellMar>
            <w:top w:w="0" w:type="dxa"/>
            <w:bottom w:w="0" w:type="dxa"/>
          </w:tblCellMar>
        </w:tblPrEx>
        <w:tc>
          <w:tcPr>
            <w:tcW w:w="4873"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0E9172FB" w14:textId="77777777" w:rsidR="00390AE2" w:rsidRDefault="00000000">
            <w:proofErr w:type="gramStart"/>
            <w:r>
              <w:rPr>
                <w:sz w:val="18"/>
                <w:szCs w:val="18"/>
              </w:rPr>
              <w:t>🔵  Facilitate</w:t>
            </w:r>
            <w:proofErr w:type="gramEnd"/>
            <w:r>
              <w:rPr>
                <w:sz w:val="18"/>
                <w:szCs w:val="18"/>
              </w:rPr>
              <w:t xml:space="preserve"> imaging (arthrography)</w:t>
            </w:r>
          </w:p>
        </w:tc>
        <w:tc>
          <w:tcPr>
            <w:tcW w:w="4873"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CF4CF90" w14:textId="77777777" w:rsidR="00390AE2" w:rsidRDefault="00390AE2"/>
        </w:tc>
      </w:tr>
    </w:tbl>
    <w:p w14:paraId="5F9E4822" w14:textId="0E149207" w:rsidR="00014114" w:rsidRDefault="00014114">
      <w:pPr>
        <w:spacing w:before="60"/>
      </w:pPr>
    </w:p>
    <w:p w14:paraId="4632DFE6" w14:textId="77777777" w:rsidR="00014114" w:rsidRDefault="00014114">
      <w:r>
        <w:br w:type="page"/>
      </w:r>
    </w:p>
    <w:p w14:paraId="73653E51"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779E1A8F"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56423158"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446BD383" w14:textId="77777777" w:rsidR="00390AE2" w:rsidRDefault="00000000">
            <w:r>
              <w:rPr>
                <w:b/>
                <w:bCs/>
                <w:color w:val="0B8A8A"/>
                <w:sz w:val="26"/>
                <w:szCs w:val="26"/>
              </w:rPr>
              <w:t>Synovial Fluid Analysis</w:t>
            </w:r>
          </w:p>
        </w:tc>
      </w:tr>
    </w:tbl>
    <w:p w14:paraId="076DD537" w14:textId="77777777" w:rsidR="00390AE2" w:rsidRDefault="00390AE2">
      <w:pPr>
        <w:spacing w:before="40"/>
      </w:pPr>
    </w:p>
    <w:p w14:paraId="1B995CCD" w14:textId="77777777" w:rsidR="00390AE2" w:rsidRDefault="00000000">
      <w:pPr>
        <w:spacing w:before="60" w:after="60"/>
      </w:pPr>
      <w:r>
        <w:t>Every aspirated sample must be sent for all three of the following investigations:</w:t>
      </w:r>
    </w:p>
    <w:p w14:paraId="6589D254" w14:textId="77777777" w:rsidR="00390AE2" w:rsidRDefault="00000000">
      <w:pPr>
        <w:pStyle w:val="ListParagraph"/>
        <w:numPr>
          <w:ilvl w:val="0"/>
          <w:numId w:val="2"/>
        </w:numPr>
        <w:spacing w:before="50" w:after="50"/>
      </w:pPr>
      <w:r>
        <w:rPr>
          <w:b/>
          <w:bCs/>
          <w:color w:val="0B8A8A"/>
        </w:rPr>
        <w:t xml:space="preserve">1.  </w:t>
      </w:r>
      <w:r>
        <w:t>Total and differential white cell count</w:t>
      </w:r>
    </w:p>
    <w:p w14:paraId="7356C0A5" w14:textId="77777777" w:rsidR="00390AE2" w:rsidRDefault="00000000">
      <w:pPr>
        <w:pStyle w:val="ListParagraph"/>
        <w:numPr>
          <w:ilvl w:val="0"/>
          <w:numId w:val="2"/>
        </w:numPr>
        <w:spacing w:before="50" w:after="50"/>
      </w:pPr>
      <w:r>
        <w:rPr>
          <w:b/>
          <w:bCs/>
          <w:color w:val="0B8A8A"/>
        </w:rPr>
        <w:t xml:space="preserve">2.  </w:t>
      </w:r>
      <w:r>
        <w:t>Gram stain and culture — include chocolate agar if gonococcal infection is suspected</w:t>
      </w:r>
    </w:p>
    <w:p w14:paraId="62297BDE" w14:textId="77777777" w:rsidR="00390AE2" w:rsidRDefault="00000000">
      <w:pPr>
        <w:pStyle w:val="ListParagraph"/>
        <w:numPr>
          <w:ilvl w:val="0"/>
          <w:numId w:val="2"/>
        </w:numPr>
        <w:spacing w:before="50" w:after="50"/>
      </w:pPr>
      <w:r>
        <w:rPr>
          <w:b/>
          <w:bCs/>
          <w:color w:val="0B8A8A"/>
        </w:rPr>
        <w:t xml:space="preserve">3.  </w:t>
      </w:r>
      <w:r>
        <w:t>Polarised light microscopy for urate (gout) and pyrophosphate (pseudogout) crystals</w:t>
      </w:r>
    </w:p>
    <w:p w14:paraId="6C81CC49" w14:textId="77777777" w:rsidR="00390AE2" w:rsidRDefault="00390AE2">
      <w:pPr>
        <w:spacing w:before="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00"/>
        <w:gridCol w:w="1600"/>
        <w:gridCol w:w="1750"/>
        <w:gridCol w:w="2100"/>
        <w:gridCol w:w="2396"/>
      </w:tblGrid>
      <w:tr w:rsidR="00390AE2" w14:paraId="755C55B7" w14:textId="77777777">
        <w:tblPrEx>
          <w:tblCellMar>
            <w:top w:w="0" w:type="dxa"/>
            <w:bottom w:w="0" w:type="dxa"/>
          </w:tblCellMar>
        </w:tblPrEx>
        <w:trPr>
          <w:tblHeader/>
        </w:trPr>
        <w:tc>
          <w:tcPr>
            <w:tcW w:w="19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4A870827" w14:textId="77777777" w:rsidR="00390AE2" w:rsidRDefault="00000000">
            <w:r>
              <w:rPr>
                <w:b/>
                <w:bCs/>
                <w:color w:val="FFFFFF"/>
                <w:sz w:val="18"/>
                <w:szCs w:val="18"/>
              </w:rPr>
              <w:t>Feature</w:t>
            </w:r>
          </w:p>
        </w:tc>
        <w:tc>
          <w:tcPr>
            <w:tcW w:w="16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39508EEB" w14:textId="77777777" w:rsidR="00390AE2" w:rsidRDefault="00000000">
            <w:r>
              <w:rPr>
                <w:b/>
                <w:bCs/>
                <w:color w:val="FFFFFF"/>
                <w:sz w:val="18"/>
                <w:szCs w:val="18"/>
              </w:rPr>
              <w:t>Normal</w:t>
            </w:r>
          </w:p>
        </w:tc>
        <w:tc>
          <w:tcPr>
            <w:tcW w:w="175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6287A389" w14:textId="77777777" w:rsidR="00390AE2" w:rsidRDefault="00000000">
            <w:r>
              <w:rPr>
                <w:b/>
                <w:bCs/>
                <w:color w:val="FFFFFF"/>
                <w:sz w:val="18"/>
                <w:szCs w:val="18"/>
              </w:rPr>
              <w:t>Osteoarthritis</w:t>
            </w:r>
          </w:p>
        </w:tc>
        <w:tc>
          <w:tcPr>
            <w:tcW w:w="21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0899BAA1" w14:textId="77777777" w:rsidR="00390AE2" w:rsidRDefault="00000000">
            <w:r>
              <w:rPr>
                <w:b/>
                <w:bCs/>
                <w:color w:val="FFFFFF"/>
                <w:sz w:val="18"/>
                <w:szCs w:val="18"/>
              </w:rPr>
              <w:t>Inflammatory (RA etc.)</w:t>
            </w:r>
          </w:p>
        </w:tc>
        <w:tc>
          <w:tcPr>
            <w:tcW w:w="2396"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0C996FA2" w14:textId="77777777" w:rsidR="00390AE2" w:rsidRDefault="00000000">
            <w:r>
              <w:rPr>
                <w:b/>
                <w:bCs/>
                <w:color w:val="FFFFFF"/>
                <w:sz w:val="18"/>
                <w:szCs w:val="18"/>
              </w:rPr>
              <w:t>Septic Arthritis</w:t>
            </w:r>
          </w:p>
        </w:tc>
      </w:tr>
      <w:tr w:rsidR="00390AE2" w14:paraId="26F0E5B1" w14:textId="77777777">
        <w:tblPrEx>
          <w:tblCellMar>
            <w:top w:w="0" w:type="dxa"/>
            <w:bottom w:w="0" w:type="dxa"/>
          </w:tblCellMar>
        </w:tblPrEx>
        <w:tc>
          <w:tcPr>
            <w:tcW w:w="19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25152B3" w14:textId="77777777" w:rsidR="00390AE2" w:rsidRDefault="00000000">
            <w:r>
              <w:rPr>
                <w:sz w:val="18"/>
                <w:szCs w:val="18"/>
              </w:rPr>
              <w:t>Appearance</w:t>
            </w:r>
          </w:p>
        </w:tc>
        <w:tc>
          <w:tcPr>
            <w:tcW w:w="1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4DE9BBB" w14:textId="77777777" w:rsidR="00390AE2" w:rsidRDefault="00000000">
            <w:r>
              <w:rPr>
                <w:sz w:val="18"/>
                <w:szCs w:val="18"/>
              </w:rPr>
              <w:t>Clear</w:t>
            </w:r>
          </w:p>
        </w:tc>
        <w:tc>
          <w:tcPr>
            <w:tcW w:w="175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B0934C4" w14:textId="77777777" w:rsidR="00390AE2" w:rsidRDefault="00000000">
            <w:r>
              <w:rPr>
                <w:sz w:val="18"/>
                <w:szCs w:val="18"/>
              </w:rPr>
              <w:t>Clear</w:t>
            </w:r>
          </w:p>
        </w:tc>
        <w:tc>
          <w:tcPr>
            <w:tcW w:w="21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0B3A2942" w14:textId="77777777" w:rsidR="00390AE2" w:rsidRDefault="00000000">
            <w:r>
              <w:rPr>
                <w:sz w:val="18"/>
                <w:szCs w:val="18"/>
              </w:rPr>
              <w:t>Opaque / cloudy</w:t>
            </w:r>
          </w:p>
        </w:tc>
        <w:tc>
          <w:tcPr>
            <w:tcW w:w="239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14D8B96" w14:textId="77777777" w:rsidR="00390AE2" w:rsidRDefault="00000000">
            <w:r>
              <w:rPr>
                <w:sz w:val="18"/>
                <w:szCs w:val="18"/>
              </w:rPr>
              <w:t>Opaque / turbid</w:t>
            </w:r>
          </w:p>
        </w:tc>
      </w:tr>
      <w:tr w:rsidR="00390AE2" w14:paraId="35829DD3" w14:textId="77777777">
        <w:tblPrEx>
          <w:tblCellMar>
            <w:top w:w="0" w:type="dxa"/>
            <w:bottom w:w="0" w:type="dxa"/>
          </w:tblCellMar>
        </w:tblPrEx>
        <w:tc>
          <w:tcPr>
            <w:tcW w:w="19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02A875DF" w14:textId="77777777" w:rsidR="00390AE2" w:rsidRDefault="00000000">
            <w:r>
              <w:rPr>
                <w:sz w:val="18"/>
                <w:szCs w:val="18"/>
              </w:rPr>
              <w:t>Volume (ml)</w:t>
            </w:r>
          </w:p>
        </w:tc>
        <w:tc>
          <w:tcPr>
            <w:tcW w:w="16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3BE92D4" w14:textId="77777777" w:rsidR="00390AE2" w:rsidRDefault="00000000">
            <w:r>
              <w:rPr>
                <w:sz w:val="18"/>
                <w:szCs w:val="18"/>
              </w:rPr>
              <w:t>0–1</w:t>
            </w:r>
          </w:p>
        </w:tc>
        <w:tc>
          <w:tcPr>
            <w:tcW w:w="175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11385F2" w14:textId="77777777" w:rsidR="00390AE2" w:rsidRDefault="00000000">
            <w:r>
              <w:rPr>
                <w:sz w:val="18"/>
                <w:szCs w:val="18"/>
              </w:rPr>
              <w:t>1–10</w:t>
            </w:r>
          </w:p>
        </w:tc>
        <w:tc>
          <w:tcPr>
            <w:tcW w:w="21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5063E80" w14:textId="77777777" w:rsidR="00390AE2" w:rsidRDefault="00000000">
            <w:r>
              <w:rPr>
                <w:sz w:val="18"/>
                <w:szCs w:val="18"/>
              </w:rPr>
              <w:t>5–50</w:t>
            </w:r>
          </w:p>
        </w:tc>
        <w:tc>
          <w:tcPr>
            <w:tcW w:w="239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B988712" w14:textId="77777777" w:rsidR="00390AE2" w:rsidRDefault="00000000">
            <w:r>
              <w:rPr>
                <w:sz w:val="18"/>
                <w:szCs w:val="18"/>
              </w:rPr>
              <w:t>5–50</w:t>
            </w:r>
          </w:p>
        </w:tc>
      </w:tr>
      <w:tr w:rsidR="00390AE2" w14:paraId="4E3C7E34" w14:textId="77777777">
        <w:tblPrEx>
          <w:tblCellMar>
            <w:top w:w="0" w:type="dxa"/>
            <w:bottom w:w="0" w:type="dxa"/>
          </w:tblCellMar>
        </w:tblPrEx>
        <w:tc>
          <w:tcPr>
            <w:tcW w:w="19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EED6AC9" w14:textId="77777777" w:rsidR="00390AE2" w:rsidRDefault="00000000">
            <w:r>
              <w:rPr>
                <w:sz w:val="18"/>
                <w:szCs w:val="18"/>
              </w:rPr>
              <w:t>Viscosity</w:t>
            </w:r>
          </w:p>
        </w:tc>
        <w:tc>
          <w:tcPr>
            <w:tcW w:w="1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52697A2" w14:textId="77777777" w:rsidR="00390AE2" w:rsidRDefault="00000000">
            <w:r>
              <w:rPr>
                <w:sz w:val="18"/>
                <w:szCs w:val="18"/>
              </w:rPr>
              <w:t>High</w:t>
            </w:r>
          </w:p>
        </w:tc>
        <w:tc>
          <w:tcPr>
            <w:tcW w:w="175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493EA02" w14:textId="77777777" w:rsidR="00390AE2" w:rsidRDefault="00000000">
            <w:r>
              <w:rPr>
                <w:sz w:val="18"/>
                <w:szCs w:val="18"/>
              </w:rPr>
              <w:t>High</w:t>
            </w:r>
          </w:p>
        </w:tc>
        <w:tc>
          <w:tcPr>
            <w:tcW w:w="21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985257E" w14:textId="77777777" w:rsidR="00390AE2" w:rsidRDefault="00000000">
            <w:r>
              <w:rPr>
                <w:sz w:val="18"/>
                <w:szCs w:val="18"/>
              </w:rPr>
              <w:t>Low</w:t>
            </w:r>
          </w:p>
        </w:tc>
        <w:tc>
          <w:tcPr>
            <w:tcW w:w="239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3FC39A7" w14:textId="77777777" w:rsidR="00390AE2" w:rsidRDefault="00000000">
            <w:r>
              <w:rPr>
                <w:sz w:val="18"/>
                <w:szCs w:val="18"/>
              </w:rPr>
              <w:t>Low</w:t>
            </w:r>
          </w:p>
        </w:tc>
      </w:tr>
      <w:tr w:rsidR="00390AE2" w14:paraId="05FCE56C" w14:textId="77777777">
        <w:tblPrEx>
          <w:tblCellMar>
            <w:top w:w="0" w:type="dxa"/>
            <w:bottom w:w="0" w:type="dxa"/>
          </w:tblCellMar>
        </w:tblPrEx>
        <w:tc>
          <w:tcPr>
            <w:tcW w:w="19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01C2761F" w14:textId="77777777" w:rsidR="00390AE2" w:rsidRDefault="00000000">
            <w:r>
              <w:rPr>
                <w:sz w:val="18"/>
                <w:szCs w:val="18"/>
              </w:rPr>
              <w:t>WBC / mm³</w:t>
            </w:r>
          </w:p>
        </w:tc>
        <w:tc>
          <w:tcPr>
            <w:tcW w:w="16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C3A45F3" w14:textId="77777777" w:rsidR="00390AE2" w:rsidRDefault="00000000">
            <w:r>
              <w:rPr>
                <w:sz w:val="18"/>
                <w:szCs w:val="18"/>
              </w:rPr>
              <w:t>&lt;200</w:t>
            </w:r>
          </w:p>
        </w:tc>
        <w:tc>
          <w:tcPr>
            <w:tcW w:w="175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029A4816" w14:textId="77777777" w:rsidR="00390AE2" w:rsidRDefault="00000000">
            <w:r>
              <w:rPr>
                <w:sz w:val="18"/>
                <w:szCs w:val="18"/>
              </w:rPr>
              <w:t>200–10,000</w:t>
            </w:r>
          </w:p>
        </w:tc>
        <w:tc>
          <w:tcPr>
            <w:tcW w:w="21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3CC1F13" w14:textId="77777777" w:rsidR="00390AE2" w:rsidRDefault="00000000">
            <w:r>
              <w:rPr>
                <w:sz w:val="18"/>
                <w:szCs w:val="18"/>
              </w:rPr>
              <w:t>5,000–75,000</w:t>
            </w:r>
          </w:p>
        </w:tc>
        <w:tc>
          <w:tcPr>
            <w:tcW w:w="239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8D106C0" w14:textId="77777777" w:rsidR="00390AE2" w:rsidRDefault="00000000">
            <w:r>
              <w:rPr>
                <w:sz w:val="18"/>
                <w:szCs w:val="18"/>
              </w:rPr>
              <w:t>&gt;50,000</w:t>
            </w:r>
          </w:p>
        </w:tc>
      </w:tr>
      <w:tr w:rsidR="00390AE2" w14:paraId="667440E8" w14:textId="77777777">
        <w:tblPrEx>
          <w:tblCellMar>
            <w:top w:w="0" w:type="dxa"/>
            <w:bottom w:w="0" w:type="dxa"/>
          </w:tblCellMar>
        </w:tblPrEx>
        <w:tc>
          <w:tcPr>
            <w:tcW w:w="19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1FA027A" w14:textId="77777777" w:rsidR="00390AE2" w:rsidRDefault="00000000">
            <w:r>
              <w:rPr>
                <w:sz w:val="18"/>
                <w:szCs w:val="18"/>
              </w:rPr>
              <w:t>% PMN cells</w:t>
            </w:r>
          </w:p>
        </w:tc>
        <w:tc>
          <w:tcPr>
            <w:tcW w:w="1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F3DDC88" w14:textId="77777777" w:rsidR="00390AE2" w:rsidRDefault="00000000">
            <w:r>
              <w:rPr>
                <w:sz w:val="18"/>
                <w:szCs w:val="18"/>
              </w:rPr>
              <w:t>&lt;25%</w:t>
            </w:r>
          </w:p>
        </w:tc>
        <w:tc>
          <w:tcPr>
            <w:tcW w:w="175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034241EC" w14:textId="77777777" w:rsidR="00390AE2" w:rsidRDefault="00000000">
            <w:r>
              <w:rPr>
                <w:sz w:val="18"/>
                <w:szCs w:val="18"/>
              </w:rPr>
              <w:t>&lt;50%</w:t>
            </w:r>
          </w:p>
        </w:tc>
        <w:tc>
          <w:tcPr>
            <w:tcW w:w="21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FE7BF99" w14:textId="77777777" w:rsidR="00390AE2" w:rsidRDefault="00000000">
            <w:r>
              <w:rPr>
                <w:sz w:val="18"/>
                <w:szCs w:val="18"/>
              </w:rPr>
              <w:t>&gt;50%</w:t>
            </w:r>
          </w:p>
        </w:tc>
        <w:tc>
          <w:tcPr>
            <w:tcW w:w="239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8AE014A" w14:textId="77777777" w:rsidR="00390AE2" w:rsidRDefault="00000000">
            <w:r>
              <w:rPr>
                <w:sz w:val="18"/>
                <w:szCs w:val="18"/>
              </w:rPr>
              <w:t>&gt;75%</w:t>
            </w:r>
          </w:p>
        </w:tc>
      </w:tr>
    </w:tbl>
    <w:p w14:paraId="14EAF9FF"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108B1447" w14:textId="77777777">
        <w:tblPrEx>
          <w:tblCellMar>
            <w:top w:w="0" w:type="dxa"/>
            <w:bottom w:w="0" w:type="dxa"/>
          </w:tblCellMar>
        </w:tblPrEx>
        <w:tc>
          <w:tcPr>
            <w:tcW w:w="9746" w:type="dxa"/>
            <w:tcBorders>
              <w:top w:val="single" w:sz="12" w:space="0" w:color="C47F20"/>
              <w:left w:val="single" w:sz="28" w:space="0" w:color="C47F20"/>
              <w:bottom w:val="single" w:sz="12" w:space="0" w:color="C47F20"/>
              <w:right w:val="single" w:sz="12" w:space="0" w:color="C47F20"/>
            </w:tcBorders>
            <w:shd w:val="clear" w:color="auto" w:fill="FEF3DC"/>
            <w:tcMar>
              <w:top w:w="140" w:type="dxa"/>
              <w:left w:w="220" w:type="dxa"/>
              <w:bottom w:w="140" w:type="dxa"/>
              <w:right w:w="220" w:type="dxa"/>
            </w:tcMar>
          </w:tcPr>
          <w:p w14:paraId="15856CD4" w14:textId="77777777" w:rsidR="00390AE2" w:rsidRDefault="00000000">
            <w:pPr>
              <w:spacing w:after="80"/>
            </w:pPr>
            <w:r>
              <w:rPr>
                <w:b/>
                <w:bCs/>
                <w:color w:val="C47F20"/>
                <w:sz w:val="18"/>
                <w:szCs w:val="18"/>
              </w:rPr>
              <w:t>KEY LEARNING POINT</w:t>
            </w:r>
          </w:p>
          <w:p w14:paraId="3AACB58A" w14:textId="77777777" w:rsidR="00390AE2" w:rsidRDefault="00000000">
            <w:pPr>
              <w:spacing w:after="50"/>
            </w:pPr>
            <w:r>
              <w:rPr>
                <w:color w:val="B45309"/>
                <w:sz w:val="19"/>
                <w:szCs w:val="19"/>
              </w:rPr>
              <w:t xml:space="preserve">WBC &gt; 50,000/mm³ with &gt; 75% PMN cells strongly </w:t>
            </w:r>
            <w:proofErr w:type="gramStart"/>
            <w:r>
              <w:rPr>
                <w:color w:val="B45309"/>
                <w:sz w:val="19"/>
                <w:szCs w:val="19"/>
              </w:rPr>
              <w:t>suggests</w:t>
            </w:r>
            <w:proofErr w:type="gramEnd"/>
            <w:r>
              <w:rPr>
                <w:color w:val="B45309"/>
                <w:sz w:val="19"/>
                <w:szCs w:val="19"/>
              </w:rPr>
              <w:t xml:space="preserve"> septic arthritis.</w:t>
            </w:r>
          </w:p>
          <w:p w14:paraId="0EBD55A3" w14:textId="77777777" w:rsidR="00390AE2" w:rsidRDefault="00000000">
            <w:pPr>
              <w:spacing w:after="50"/>
            </w:pPr>
            <w:r>
              <w:rPr>
                <w:color w:val="B45309"/>
                <w:sz w:val="19"/>
                <w:szCs w:val="19"/>
              </w:rPr>
              <w:t>Treat as infectious until proven otherwise. Refer urgently.</w:t>
            </w:r>
          </w:p>
        </w:tc>
      </w:tr>
    </w:tbl>
    <w:p w14:paraId="429594E6" w14:textId="77777777" w:rsidR="00390AE2" w:rsidRDefault="00390AE2">
      <w:pPr>
        <w:spacing w:before="40"/>
      </w:pPr>
    </w:p>
    <w:p w14:paraId="7F7E22BA"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21EF8AB7"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25073E58" w14:textId="77777777" w:rsidR="00390AE2" w:rsidRDefault="00000000">
            <w:r>
              <w:rPr>
                <w:b/>
                <w:bCs/>
                <w:color w:val="FFFFFF"/>
                <w:sz w:val="32"/>
                <w:szCs w:val="32"/>
              </w:rPr>
              <w:t>Contraindications</w:t>
            </w:r>
          </w:p>
        </w:tc>
      </w:tr>
    </w:tbl>
    <w:p w14:paraId="7DA952A9"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3E6EAA79"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63D528D6"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038C74EF" w14:textId="77777777" w:rsidR="00390AE2" w:rsidRDefault="00000000">
            <w:r>
              <w:rPr>
                <w:b/>
                <w:bCs/>
                <w:color w:val="0B8A8A"/>
                <w:sz w:val="26"/>
                <w:szCs w:val="26"/>
              </w:rPr>
              <w:t>Absolute Contraindications</w:t>
            </w:r>
          </w:p>
        </w:tc>
      </w:tr>
    </w:tbl>
    <w:p w14:paraId="368EBFE5"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08096410" w14:textId="77777777">
        <w:tblPrEx>
          <w:tblCellMar>
            <w:top w:w="0" w:type="dxa"/>
            <w:bottom w:w="0" w:type="dxa"/>
          </w:tblCellMar>
        </w:tblPrEx>
        <w:tc>
          <w:tcPr>
            <w:tcW w:w="9746" w:type="dxa"/>
            <w:tcBorders>
              <w:top w:val="single" w:sz="12" w:space="0" w:color="9B1C1C"/>
              <w:left w:val="single" w:sz="28" w:space="0" w:color="9B1C1C"/>
              <w:bottom w:val="single" w:sz="12" w:space="0" w:color="9B1C1C"/>
              <w:right w:val="single" w:sz="12" w:space="0" w:color="9B1C1C"/>
            </w:tcBorders>
            <w:shd w:val="clear" w:color="auto" w:fill="FEE2E2"/>
            <w:tcMar>
              <w:top w:w="140" w:type="dxa"/>
              <w:left w:w="220" w:type="dxa"/>
              <w:bottom w:w="140" w:type="dxa"/>
              <w:right w:w="220" w:type="dxa"/>
            </w:tcMar>
          </w:tcPr>
          <w:p w14:paraId="1D64892A" w14:textId="77777777" w:rsidR="00390AE2" w:rsidRDefault="00000000">
            <w:pPr>
              <w:spacing w:after="80"/>
            </w:pPr>
            <w:proofErr w:type="gramStart"/>
            <w:r>
              <w:rPr>
                <w:b/>
                <w:bCs/>
                <w:color w:val="9B1C1C"/>
                <w:sz w:val="18"/>
                <w:szCs w:val="18"/>
              </w:rPr>
              <w:t>🚫  ABSOLUTE</w:t>
            </w:r>
            <w:proofErr w:type="gramEnd"/>
            <w:r>
              <w:rPr>
                <w:b/>
                <w:bCs/>
                <w:color w:val="9B1C1C"/>
                <w:sz w:val="18"/>
                <w:szCs w:val="18"/>
              </w:rPr>
              <w:t xml:space="preserve"> CONTRAINDICATION — DO NOT PROCEED</w:t>
            </w:r>
          </w:p>
          <w:p w14:paraId="34EEC2FC" w14:textId="77777777" w:rsidR="00390AE2" w:rsidRDefault="00000000">
            <w:pPr>
              <w:spacing w:after="50"/>
            </w:pPr>
            <w:r>
              <w:rPr>
                <w:color w:val="9B1C1C"/>
                <w:sz w:val="19"/>
                <w:szCs w:val="19"/>
              </w:rPr>
              <w:t>Suspected or confirmed septic arthritis — You MUST aspirate to diagnose. You must NOT inject corticosteroid until infection is excluded.</w:t>
            </w:r>
          </w:p>
          <w:p w14:paraId="46BB1643" w14:textId="77777777" w:rsidR="00390AE2" w:rsidRDefault="00000000">
            <w:pPr>
              <w:spacing w:after="50"/>
            </w:pPr>
            <w:r>
              <w:rPr>
                <w:color w:val="9B1C1C"/>
                <w:sz w:val="19"/>
                <w:szCs w:val="19"/>
              </w:rPr>
              <w:t>Overlying skin infection, cellulitis, or infected wound at the injection site.</w:t>
            </w:r>
          </w:p>
          <w:p w14:paraId="1251E494" w14:textId="77777777" w:rsidR="00390AE2" w:rsidRDefault="00000000">
            <w:pPr>
              <w:spacing w:after="50"/>
            </w:pPr>
            <w:r>
              <w:rPr>
                <w:color w:val="9B1C1C"/>
                <w:sz w:val="19"/>
                <w:szCs w:val="19"/>
              </w:rPr>
              <w:t>Suspected bacteraemia or systemic sepsis.</w:t>
            </w:r>
          </w:p>
          <w:p w14:paraId="6ABACC3E" w14:textId="77777777" w:rsidR="00390AE2" w:rsidRDefault="00000000">
            <w:pPr>
              <w:spacing w:after="50"/>
            </w:pPr>
            <w:r>
              <w:rPr>
                <w:color w:val="9B1C1C"/>
                <w:sz w:val="19"/>
                <w:szCs w:val="19"/>
              </w:rPr>
              <w:t>Known hypersensitivity to the intended corticosteroid or local anaesthetic.</w:t>
            </w:r>
          </w:p>
          <w:p w14:paraId="1B3A557F" w14:textId="77777777" w:rsidR="00390AE2" w:rsidRDefault="00000000">
            <w:pPr>
              <w:spacing w:after="50"/>
            </w:pPr>
            <w:r>
              <w:rPr>
                <w:color w:val="9B1C1C"/>
                <w:sz w:val="19"/>
                <w:szCs w:val="19"/>
              </w:rPr>
              <w:t>Prosthetic joint — You must NOT inject in primary care. Refer to orthopaedics under full aseptic theatre conditions.</w:t>
            </w:r>
          </w:p>
          <w:p w14:paraId="27EE9CFD" w14:textId="77777777" w:rsidR="00390AE2" w:rsidRDefault="00000000">
            <w:pPr>
              <w:spacing w:after="50"/>
            </w:pPr>
            <w:r>
              <w:rPr>
                <w:color w:val="9B1C1C"/>
                <w:sz w:val="19"/>
                <w:szCs w:val="19"/>
              </w:rPr>
              <w:t>Absence of informed consent.</w:t>
            </w:r>
          </w:p>
        </w:tc>
      </w:tr>
    </w:tbl>
    <w:p w14:paraId="6B507E98" w14:textId="642990E7" w:rsidR="00014114" w:rsidRDefault="00014114">
      <w:pPr>
        <w:spacing w:before="60"/>
      </w:pPr>
    </w:p>
    <w:p w14:paraId="29A8E787" w14:textId="77777777" w:rsidR="00014114" w:rsidRDefault="00014114">
      <w:r>
        <w:br w:type="page"/>
      </w:r>
    </w:p>
    <w:p w14:paraId="0DE6A3E0"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49FE6CC1"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0A1583AF"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76698ACA" w14:textId="77777777" w:rsidR="00390AE2" w:rsidRDefault="00000000">
            <w:r>
              <w:rPr>
                <w:b/>
                <w:bCs/>
                <w:color w:val="0B8A8A"/>
                <w:sz w:val="26"/>
                <w:szCs w:val="26"/>
              </w:rPr>
              <w:t>Relative Contraindications — Proceed with Caution</w:t>
            </w:r>
          </w:p>
        </w:tc>
      </w:tr>
    </w:tbl>
    <w:p w14:paraId="409F0E3E" w14:textId="77777777" w:rsidR="00390AE2" w:rsidRDefault="00390AE2">
      <w:pPr>
        <w:spacing w:before="40"/>
      </w:pPr>
    </w:p>
    <w:p w14:paraId="30F22A1B" w14:textId="77777777" w:rsidR="00390AE2" w:rsidRDefault="00000000">
      <w:pPr>
        <w:spacing w:before="80" w:after="80"/>
      </w:pPr>
      <w:r>
        <w:t>The following require careful individual risk–benefit assessment:</w:t>
      </w:r>
    </w:p>
    <w:p w14:paraId="55460F85"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1F5AD0A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BCE469E" w14:textId="77777777" w:rsidR="00390AE2" w:rsidRDefault="00000000">
            <w:r>
              <w:rPr>
                <w:b/>
                <w:bCs/>
                <w:color w:val="1B3A52"/>
                <w:sz w:val="19"/>
                <w:szCs w:val="19"/>
              </w:rPr>
              <w:t>Anticoagulation</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33780B6B" w14:textId="77777777" w:rsidR="00390AE2" w:rsidRDefault="00000000">
            <w:r>
              <w:rPr>
                <w:sz w:val="19"/>
                <w:szCs w:val="19"/>
              </w:rPr>
              <w:t>Peripheral joint injections are low bleeding risk. Evidence does not support routine anticoagulation cessation. Check INR for warfarin patients. Document your risk assessment.</w:t>
            </w:r>
          </w:p>
        </w:tc>
      </w:tr>
      <w:tr w:rsidR="00390AE2" w14:paraId="1454660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A027246" w14:textId="77777777" w:rsidR="00390AE2" w:rsidRDefault="00000000">
            <w:r>
              <w:rPr>
                <w:b/>
                <w:bCs/>
                <w:color w:val="1B3A52"/>
                <w:sz w:val="19"/>
                <w:szCs w:val="19"/>
              </w:rPr>
              <w:t>Thrombocytopenia / bleeding diathesis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AE6D3B3" w14:textId="77777777" w:rsidR="00390AE2" w:rsidRDefault="00000000">
            <w:r>
              <w:rPr>
                <w:sz w:val="19"/>
                <w:szCs w:val="19"/>
              </w:rPr>
              <w:t>Increased haemorrhagic risk. Seek haematology advice if uncertain.</w:t>
            </w:r>
          </w:p>
        </w:tc>
      </w:tr>
      <w:tr w:rsidR="00390AE2" w14:paraId="4376200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4D9DE07" w14:textId="77777777" w:rsidR="00390AE2" w:rsidRDefault="00000000">
            <w:r>
              <w:rPr>
                <w:b/>
                <w:bCs/>
                <w:color w:val="1B3A52"/>
                <w:sz w:val="19"/>
                <w:szCs w:val="19"/>
              </w:rPr>
              <w:t>Diabetes mellitus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352765B8" w14:textId="77777777" w:rsidR="00390AE2" w:rsidRDefault="00000000">
            <w:r>
              <w:rPr>
                <w:sz w:val="19"/>
                <w:szCs w:val="19"/>
              </w:rPr>
              <w:t xml:space="preserve">Significant transient rise in blood glucose. Warn the patient before the procedure. Advise glucose monitoring for at least </w:t>
            </w:r>
            <w:proofErr w:type="gramStart"/>
            <w:r>
              <w:rPr>
                <w:sz w:val="19"/>
                <w:szCs w:val="19"/>
              </w:rPr>
              <w:t>one week</w:t>
            </w:r>
            <w:proofErr w:type="gramEnd"/>
            <w:r>
              <w:rPr>
                <w:sz w:val="19"/>
                <w:szCs w:val="19"/>
              </w:rPr>
              <w:t xml:space="preserve"> post-injection. Peritendinous injections may cause elevations lasting 5–21 days.</w:t>
            </w:r>
          </w:p>
        </w:tc>
      </w:tr>
      <w:tr w:rsidR="00390AE2" w14:paraId="00273E4F"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5B6B03D" w14:textId="77777777" w:rsidR="00390AE2" w:rsidRDefault="00000000">
            <w:r>
              <w:rPr>
                <w:b/>
                <w:bCs/>
                <w:color w:val="1B3A52"/>
                <w:sz w:val="19"/>
                <w:szCs w:val="19"/>
              </w:rPr>
              <w:t>Poorly controlled hypertension</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C93E0E2" w14:textId="77777777" w:rsidR="00390AE2" w:rsidRDefault="00000000">
            <w:r>
              <w:rPr>
                <w:sz w:val="19"/>
                <w:szCs w:val="19"/>
              </w:rPr>
              <w:t>Corticosteroids can transiently raise blood pressure.</w:t>
            </w:r>
          </w:p>
        </w:tc>
      </w:tr>
      <w:tr w:rsidR="00390AE2" w14:paraId="702EDB6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C8E0814" w14:textId="77777777" w:rsidR="00390AE2" w:rsidRDefault="00000000">
            <w:r>
              <w:rPr>
                <w:b/>
                <w:bCs/>
                <w:color w:val="1B3A52"/>
                <w:sz w:val="19"/>
                <w:szCs w:val="19"/>
              </w:rPr>
              <w:t>Immunosuppression (including biologics)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FD8EDFC" w14:textId="77777777" w:rsidR="00390AE2" w:rsidRDefault="00000000">
            <w:r>
              <w:rPr>
                <w:sz w:val="19"/>
                <w:szCs w:val="19"/>
              </w:rPr>
              <w:t>Higher infection risk. Proceed only if clearly indicated and documented.</w:t>
            </w:r>
          </w:p>
        </w:tc>
      </w:tr>
      <w:tr w:rsidR="00390AE2" w14:paraId="48B9317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0A3C5D3" w14:textId="77777777" w:rsidR="00390AE2" w:rsidRDefault="00000000">
            <w:r>
              <w:rPr>
                <w:b/>
                <w:bCs/>
                <w:color w:val="1B3A52"/>
                <w:sz w:val="19"/>
                <w:szCs w:val="19"/>
              </w:rPr>
              <w:t>Pregnancy / breastfeeding</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5E90D8A" w14:textId="77777777" w:rsidR="00390AE2" w:rsidRDefault="00000000">
            <w:r>
              <w:rPr>
                <w:sz w:val="19"/>
                <w:szCs w:val="19"/>
              </w:rPr>
              <w:t>Not considered harmful, but document shared decision-making.</w:t>
            </w:r>
          </w:p>
        </w:tc>
      </w:tr>
      <w:tr w:rsidR="00390AE2" w14:paraId="0B142E7F"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3AB5CE7" w14:textId="77777777" w:rsidR="00390AE2" w:rsidRDefault="00000000">
            <w:r>
              <w:rPr>
                <w:b/>
                <w:bCs/>
                <w:color w:val="1B3A52"/>
                <w:sz w:val="19"/>
                <w:szCs w:val="19"/>
              </w:rPr>
              <w:t>Failed previous injections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017C602" w14:textId="77777777" w:rsidR="00390AE2" w:rsidRDefault="00000000">
            <w:r>
              <w:rPr>
                <w:sz w:val="19"/>
                <w:szCs w:val="19"/>
              </w:rPr>
              <w:t>Lack of prior response is a relative contraindication. Reassess the diagnosis before repeating.</w:t>
            </w:r>
          </w:p>
        </w:tc>
      </w:tr>
    </w:tbl>
    <w:p w14:paraId="2048639A" w14:textId="77777777" w:rsidR="00390AE2" w:rsidRDefault="00390AE2">
      <w:pPr>
        <w:spacing w:before="60"/>
      </w:pPr>
    </w:p>
    <w:tbl>
      <w:tblPr>
        <w:tblW w:w="9746" w:type="dxa"/>
        <w:tblBorders>
          <w:top w:val="single" w:sz="12" w:space="0" w:color="9B1C1C"/>
          <w:left w:val="single" w:sz="28" w:space="0" w:color="9B1C1C"/>
          <w:bottom w:val="single" w:sz="12" w:space="0" w:color="9B1C1C"/>
          <w:right w:val="single" w:sz="12" w:space="0" w:color="9B1C1C"/>
        </w:tblBorders>
        <w:tblCellMar>
          <w:top w:w="140" w:type="dxa"/>
          <w:left w:w="220" w:type="dxa"/>
          <w:bottom w:w="140" w:type="dxa"/>
          <w:right w:w="220" w:type="dxa"/>
        </w:tblCellMar>
        <w:tblLook w:val="04A0" w:firstRow="1" w:lastRow="0" w:firstColumn="1" w:lastColumn="0" w:noHBand="0" w:noVBand="1"/>
      </w:tblPr>
      <w:tblGrid>
        <w:gridCol w:w="9746"/>
      </w:tblGrid>
      <w:tr w:rsidR="00390AE2" w14:paraId="4CFC0BC0" w14:textId="77777777">
        <w:tc>
          <w:tcPr>
            <w:tcW w:w="9746" w:type="dxa"/>
            <w:shd w:val="clear" w:color="auto" w:fill="FEE2E2"/>
          </w:tcPr>
          <w:p w14:paraId="1421DDE5" w14:textId="77777777" w:rsidR="00390AE2" w:rsidRDefault="00000000">
            <w:pPr>
              <w:spacing w:after="80"/>
            </w:pPr>
            <w:proofErr w:type="gramStart"/>
            <w:r>
              <w:rPr>
                <w:b/>
                <w:caps/>
                <w:color w:val="9B1C1C"/>
                <w:sz w:val="18"/>
                <w:szCs w:val="18"/>
              </w:rPr>
              <w:t>🚫  PROCEDURES</w:t>
            </w:r>
            <w:proofErr w:type="gramEnd"/>
            <w:r>
              <w:rPr>
                <w:b/>
                <w:caps/>
                <w:color w:val="9B1C1C"/>
                <w:sz w:val="18"/>
                <w:szCs w:val="18"/>
              </w:rPr>
              <w:t xml:space="preserve"> THAT MUST NEVER BE PERFORMED IN PRIMARY CARE</w:t>
            </w:r>
          </w:p>
          <w:p w14:paraId="724A5096" w14:textId="77777777" w:rsidR="00390AE2" w:rsidRDefault="00000000">
            <w:pPr>
              <w:spacing w:after="50"/>
            </w:pPr>
            <w:r>
              <w:rPr>
                <w:color w:val="9B1C1C"/>
                <w:sz w:val="19"/>
                <w:szCs w:val="19"/>
              </w:rPr>
              <w:t>The following procedures are outside the scope of primary care minor surgery</w:t>
            </w:r>
          </w:p>
          <w:p w14:paraId="280285C0" w14:textId="77777777" w:rsidR="00390AE2" w:rsidRDefault="00000000">
            <w:pPr>
              <w:spacing w:after="50"/>
            </w:pPr>
            <w:r>
              <w:rPr>
                <w:color w:val="9B1C1C"/>
                <w:sz w:val="19"/>
                <w:szCs w:val="19"/>
              </w:rPr>
              <w:t>and must NOT be attempted regardless of clinician experience:</w:t>
            </w:r>
          </w:p>
          <w:p w14:paraId="03D1E8F3" w14:textId="77777777" w:rsidR="00390AE2" w:rsidRDefault="00390AE2">
            <w:pPr>
              <w:spacing w:after="50"/>
            </w:pPr>
          </w:p>
          <w:p w14:paraId="26E26FB8" w14:textId="77777777" w:rsidR="00390AE2" w:rsidRDefault="00000000">
            <w:pPr>
              <w:spacing w:after="50"/>
            </w:pPr>
            <w:r>
              <w:rPr>
                <w:color w:val="9B1C1C"/>
                <w:sz w:val="19"/>
                <w:szCs w:val="19"/>
              </w:rPr>
              <w:t xml:space="preserve">  </w:t>
            </w:r>
            <w:proofErr w:type="gramStart"/>
            <w:r>
              <w:rPr>
                <w:color w:val="9B1C1C"/>
                <w:sz w:val="19"/>
                <w:szCs w:val="19"/>
              </w:rPr>
              <w:t>▸  Sacroiliac</w:t>
            </w:r>
            <w:proofErr w:type="gramEnd"/>
            <w:r>
              <w:rPr>
                <w:color w:val="9B1C1C"/>
                <w:sz w:val="19"/>
                <w:szCs w:val="19"/>
              </w:rPr>
              <w:t xml:space="preserve"> joint injection — risk of spinal cord injury, deep pelvic</w:t>
            </w:r>
          </w:p>
          <w:p w14:paraId="57E4BD95" w14:textId="77777777" w:rsidR="00390AE2" w:rsidRDefault="00000000">
            <w:pPr>
              <w:spacing w:after="50"/>
            </w:pPr>
            <w:r>
              <w:rPr>
                <w:color w:val="9B1C1C"/>
                <w:sz w:val="19"/>
                <w:szCs w:val="19"/>
              </w:rPr>
              <w:t xml:space="preserve">     haematoma; requires CT/fluoroscopic guidance</w:t>
            </w:r>
          </w:p>
          <w:p w14:paraId="7D49F1DD" w14:textId="77777777" w:rsidR="00390AE2" w:rsidRDefault="00000000">
            <w:pPr>
              <w:spacing w:after="50"/>
            </w:pPr>
            <w:r>
              <w:rPr>
                <w:color w:val="9B1C1C"/>
                <w:sz w:val="19"/>
                <w:szCs w:val="19"/>
              </w:rPr>
              <w:t xml:space="preserve">  </w:t>
            </w:r>
            <w:proofErr w:type="gramStart"/>
            <w:r>
              <w:rPr>
                <w:color w:val="9B1C1C"/>
                <w:sz w:val="19"/>
                <w:szCs w:val="19"/>
              </w:rPr>
              <w:t>▸  Facet</w:t>
            </w:r>
            <w:proofErr w:type="gramEnd"/>
            <w:r>
              <w:rPr>
                <w:color w:val="9B1C1C"/>
                <w:sz w:val="19"/>
                <w:szCs w:val="19"/>
              </w:rPr>
              <w:t xml:space="preserve"> joint injection — requires imaging guidance; spinal cord risk</w:t>
            </w:r>
          </w:p>
          <w:p w14:paraId="18D0AB57" w14:textId="77777777" w:rsidR="00390AE2" w:rsidRDefault="00000000">
            <w:pPr>
              <w:spacing w:after="50"/>
            </w:pPr>
            <w:r>
              <w:rPr>
                <w:color w:val="9B1C1C"/>
                <w:sz w:val="19"/>
                <w:szCs w:val="19"/>
              </w:rPr>
              <w:t xml:space="preserve">  </w:t>
            </w:r>
            <w:proofErr w:type="gramStart"/>
            <w:r>
              <w:rPr>
                <w:color w:val="9B1C1C"/>
                <w:sz w:val="19"/>
                <w:szCs w:val="19"/>
              </w:rPr>
              <w:t>▸  Epidural</w:t>
            </w:r>
            <w:proofErr w:type="gramEnd"/>
            <w:r>
              <w:rPr>
                <w:color w:val="9B1C1C"/>
                <w:sz w:val="19"/>
                <w:szCs w:val="19"/>
              </w:rPr>
              <w:t xml:space="preserve"> steroid injection — requires specialist anaesthetic environment</w:t>
            </w:r>
          </w:p>
          <w:p w14:paraId="1849EC6B" w14:textId="77777777" w:rsidR="00390AE2" w:rsidRDefault="00000000">
            <w:pPr>
              <w:spacing w:after="50"/>
            </w:pPr>
            <w:r>
              <w:rPr>
                <w:color w:val="9B1C1C"/>
                <w:sz w:val="19"/>
                <w:szCs w:val="19"/>
              </w:rPr>
              <w:t xml:space="preserve">  </w:t>
            </w:r>
            <w:proofErr w:type="gramStart"/>
            <w:r>
              <w:rPr>
                <w:color w:val="9B1C1C"/>
                <w:sz w:val="19"/>
                <w:szCs w:val="19"/>
              </w:rPr>
              <w:t>▸  Hip</w:t>
            </w:r>
            <w:proofErr w:type="gramEnd"/>
            <w:r>
              <w:rPr>
                <w:color w:val="9B1C1C"/>
                <w:sz w:val="19"/>
                <w:szCs w:val="19"/>
              </w:rPr>
              <w:t xml:space="preserve"> joint aspiration — femoral neurovascular bundle risk; imaging essential</w:t>
            </w:r>
          </w:p>
          <w:p w14:paraId="66FF871B" w14:textId="77777777" w:rsidR="00390AE2" w:rsidRDefault="00000000">
            <w:pPr>
              <w:spacing w:after="50"/>
            </w:pPr>
            <w:r>
              <w:rPr>
                <w:color w:val="9B1C1C"/>
                <w:sz w:val="19"/>
                <w:szCs w:val="19"/>
              </w:rPr>
              <w:t xml:space="preserve">  </w:t>
            </w:r>
            <w:proofErr w:type="gramStart"/>
            <w:r>
              <w:rPr>
                <w:color w:val="9B1C1C"/>
                <w:sz w:val="19"/>
                <w:szCs w:val="19"/>
              </w:rPr>
              <w:t>▸  Iliopsoas</w:t>
            </w:r>
            <w:proofErr w:type="gramEnd"/>
            <w:r>
              <w:rPr>
                <w:color w:val="9B1C1C"/>
                <w:sz w:val="19"/>
                <w:szCs w:val="19"/>
              </w:rPr>
              <w:t xml:space="preserve"> bursa injection — deep pelvic; femoral nerve injury risk</w:t>
            </w:r>
          </w:p>
          <w:p w14:paraId="73EF0686" w14:textId="77777777" w:rsidR="00390AE2" w:rsidRDefault="00000000">
            <w:pPr>
              <w:spacing w:after="50"/>
            </w:pPr>
            <w:r>
              <w:rPr>
                <w:color w:val="9B1C1C"/>
                <w:sz w:val="19"/>
                <w:szCs w:val="19"/>
              </w:rPr>
              <w:t xml:space="preserve">  </w:t>
            </w:r>
            <w:proofErr w:type="gramStart"/>
            <w:r>
              <w:rPr>
                <w:color w:val="9B1C1C"/>
                <w:sz w:val="19"/>
                <w:szCs w:val="19"/>
              </w:rPr>
              <w:t>▸  Retrocalcaneal</w:t>
            </w:r>
            <w:proofErr w:type="gramEnd"/>
            <w:r>
              <w:rPr>
                <w:color w:val="9B1C1C"/>
                <w:sz w:val="19"/>
                <w:szCs w:val="19"/>
              </w:rPr>
              <w:t xml:space="preserve"> bursa injection — Achilles tendon rupture risk; ultrasound required</w:t>
            </w:r>
          </w:p>
          <w:p w14:paraId="33DA3C37" w14:textId="77777777" w:rsidR="00390AE2" w:rsidRDefault="00000000">
            <w:pPr>
              <w:spacing w:after="50"/>
            </w:pPr>
            <w:r>
              <w:rPr>
                <w:color w:val="9B1C1C"/>
                <w:sz w:val="19"/>
                <w:szCs w:val="19"/>
              </w:rPr>
              <w:t xml:space="preserve">  </w:t>
            </w:r>
            <w:proofErr w:type="gramStart"/>
            <w:r>
              <w:rPr>
                <w:color w:val="9B1C1C"/>
                <w:sz w:val="19"/>
                <w:szCs w:val="19"/>
              </w:rPr>
              <w:t>▸  Bicipital</w:t>
            </w:r>
            <w:proofErr w:type="gramEnd"/>
            <w:r>
              <w:rPr>
                <w:color w:val="9B1C1C"/>
                <w:sz w:val="19"/>
                <w:szCs w:val="19"/>
              </w:rPr>
              <w:t xml:space="preserve"> tendon injection — biceps tendon rupture risk; ultrasound required</w:t>
            </w:r>
          </w:p>
          <w:p w14:paraId="5644D56F" w14:textId="77777777" w:rsidR="00390AE2" w:rsidRDefault="00390AE2">
            <w:pPr>
              <w:spacing w:after="50"/>
            </w:pPr>
          </w:p>
          <w:p w14:paraId="29BCD9CB" w14:textId="77777777" w:rsidR="00390AE2" w:rsidRDefault="00000000">
            <w:pPr>
              <w:spacing w:after="50"/>
            </w:pPr>
            <w:r>
              <w:rPr>
                <w:color w:val="9B1C1C"/>
                <w:sz w:val="19"/>
                <w:szCs w:val="19"/>
              </w:rPr>
              <w:t xml:space="preserve">For </w:t>
            </w:r>
            <w:proofErr w:type="gramStart"/>
            <w:r>
              <w:rPr>
                <w:color w:val="9B1C1C"/>
                <w:sz w:val="19"/>
                <w:szCs w:val="19"/>
              </w:rPr>
              <w:t>all of</w:t>
            </w:r>
            <w:proofErr w:type="gramEnd"/>
            <w:r>
              <w:rPr>
                <w:color w:val="9B1C1C"/>
                <w:sz w:val="19"/>
                <w:szCs w:val="19"/>
              </w:rPr>
              <w:t xml:space="preserve"> the above: refer to the appropriate specialist service.</w:t>
            </w:r>
          </w:p>
        </w:tc>
      </w:tr>
    </w:tbl>
    <w:p w14:paraId="7C5B97C4" w14:textId="77777777" w:rsidR="00390AE2" w:rsidRDefault="00390AE2">
      <w:pPr>
        <w:spacing w:before="40"/>
      </w:pPr>
    </w:p>
    <w:p w14:paraId="60DA444B" w14:textId="4FC6F850" w:rsidR="00014114" w:rsidRDefault="00014114">
      <w:r>
        <w:br w:type="page"/>
      </w:r>
    </w:p>
    <w:p w14:paraId="1F30FFD6"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7634A9F7"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307AE875" w14:textId="77777777" w:rsidR="00390AE2" w:rsidRDefault="00000000">
            <w:r>
              <w:rPr>
                <w:b/>
                <w:bCs/>
                <w:color w:val="FFFFFF"/>
                <w:sz w:val="32"/>
                <w:szCs w:val="32"/>
              </w:rPr>
              <w:t>Equipment &amp; Procedure</w:t>
            </w:r>
          </w:p>
        </w:tc>
      </w:tr>
    </w:tbl>
    <w:p w14:paraId="5D696449"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55FEFD96"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2F393297"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40569E2D" w14:textId="77777777" w:rsidR="00390AE2" w:rsidRDefault="00000000">
            <w:r>
              <w:rPr>
                <w:b/>
                <w:bCs/>
                <w:color w:val="0B8A8A"/>
                <w:sz w:val="26"/>
                <w:szCs w:val="26"/>
              </w:rPr>
              <w:t>Required Equipment</w:t>
            </w:r>
          </w:p>
        </w:tc>
      </w:tr>
    </w:tbl>
    <w:p w14:paraId="32534A25"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7346"/>
      </w:tblGrid>
      <w:tr w:rsidR="00390AE2" w14:paraId="16C068F0" w14:textId="77777777">
        <w:tblPrEx>
          <w:tblCellMar>
            <w:top w:w="0" w:type="dxa"/>
            <w:bottom w:w="0" w:type="dxa"/>
          </w:tblCellMar>
        </w:tblPrEx>
        <w:trPr>
          <w:tblHeader/>
        </w:trPr>
        <w:tc>
          <w:tcPr>
            <w:tcW w:w="24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40504170" w14:textId="77777777" w:rsidR="00390AE2" w:rsidRDefault="00000000">
            <w:r>
              <w:rPr>
                <w:b/>
                <w:bCs/>
                <w:color w:val="FFFFFF"/>
                <w:sz w:val="18"/>
                <w:szCs w:val="18"/>
              </w:rPr>
              <w:t>Item</w:t>
            </w:r>
          </w:p>
        </w:tc>
        <w:tc>
          <w:tcPr>
            <w:tcW w:w="7346"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61EB30EA" w14:textId="77777777" w:rsidR="00390AE2" w:rsidRDefault="00000000">
            <w:r>
              <w:rPr>
                <w:b/>
                <w:bCs/>
                <w:color w:val="FFFFFF"/>
                <w:sz w:val="18"/>
                <w:szCs w:val="18"/>
              </w:rPr>
              <w:t>Specification</w:t>
            </w:r>
          </w:p>
        </w:tc>
      </w:tr>
      <w:tr w:rsidR="00390AE2" w14:paraId="07CE700A"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E867030" w14:textId="77777777" w:rsidR="00390AE2" w:rsidRDefault="00000000">
            <w:r>
              <w:rPr>
                <w:sz w:val="18"/>
                <w:szCs w:val="18"/>
              </w:rPr>
              <w:t>Skin preparation</w:t>
            </w:r>
          </w:p>
        </w:tc>
        <w:tc>
          <w:tcPr>
            <w:tcW w:w="73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68AD9B3" w14:textId="77777777" w:rsidR="00390AE2" w:rsidRDefault="00000000">
            <w:r>
              <w:rPr>
                <w:sz w:val="18"/>
                <w:szCs w:val="18"/>
              </w:rPr>
              <w:t>Chlorhexidine 2% in 70% isopropyl alcohol (preferred). Allow to dry fully before needle insertion.</w:t>
            </w:r>
          </w:p>
        </w:tc>
      </w:tr>
      <w:tr w:rsidR="00390AE2" w14:paraId="33B2A4AE"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5ACD21A" w14:textId="77777777" w:rsidR="00390AE2" w:rsidRDefault="00000000">
            <w:r>
              <w:rPr>
                <w:sz w:val="18"/>
                <w:szCs w:val="18"/>
              </w:rPr>
              <w:t>Gloves</w:t>
            </w:r>
          </w:p>
        </w:tc>
        <w:tc>
          <w:tcPr>
            <w:tcW w:w="73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204F834" w14:textId="77777777" w:rsidR="00390AE2" w:rsidRDefault="00000000">
            <w:r>
              <w:rPr>
                <w:sz w:val="18"/>
                <w:szCs w:val="18"/>
              </w:rPr>
              <w:t>Non-sterile minimum; sterile gloves preferred for joint aspiration.</w:t>
            </w:r>
          </w:p>
        </w:tc>
      </w:tr>
      <w:tr w:rsidR="00390AE2" w14:paraId="2B8D722B"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7646D1E" w14:textId="77777777" w:rsidR="00390AE2" w:rsidRDefault="00000000">
            <w:r>
              <w:rPr>
                <w:sz w:val="18"/>
                <w:szCs w:val="18"/>
              </w:rPr>
              <w:t>Needles — LA</w:t>
            </w:r>
          </w:p>
        </w:tc>
        <w:tc>
          <w:tcPr>
            <w:tcW w:w="73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2BB03CC" w14:textId="77777777" w:rsidR="00390AE2" w:rsidRDefault="00000000">
            <w:r>
              <w:rPr>
                <w:sz w:val="18"/>
                <w:szCs w:val="18"/>
              </w:rPr>
              <w:t>25–27 gauge for skin infiltration.</w:t>
            </w:r>
          </w:p>
        </w:tc>
      </w:tr>
      <w:tr w:rsidR="00390AE2" w14:paraId="2DC17501"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6C6192EA" w14:textId="77777777" w:rsidR="00390AE2" w:rsidRDefault="00000000">
            <w:r>
              <w:rPr>
                <w:sz w:val="18"/>
                <w:szCs w:val="18"/>
              </w:rPr>
              <w:t>Needles — large joints</w:t>
            </w:r>
          </w:p>
        </w:tc>
        <w:tc>
          <w:tcPr>
            <w:tcW w:w="73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64E1D28" w14:textId="77777777" w:rsidR="00390AE2" w:rsidRDefault="00000000">
            <w:r>
              <w:rPr>
                <w:sz w:val="18"/>
                <w:szCs w:val="18"/>
              </w:rPr>
              <w:t>21–22 gauge (knees, shoulders, ankles, hips).</w:t>
            </w:r>
          </w:p>
        </w:tc>
      </w:tr>
      <w:tr w:rsidR="00390AE2" w14:paraId="52B3D978"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1B2695F" w14:textId="77777777" w:rsidR="00390AE2" w:rsidRDefault="00000000">
            <w:r>
              <w:rPr>
                <w:sz w:val="18"/>
                <w:szCs w:val="18"/>
              </w:rPr>
              <w:t>Needles — small joints</w:t>
            </w:r>
          </w:p>
        </w:tc>
        <w:tc>
          <w:tcPr>
            <w:tcW w:w="73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48162B0" w14:textId="77777777" w:rsidR="00390AE2" w:rsidRDefault="00000000">
            <w:r>
              <w:rPr>
                <w:sz w:val="18"/>
                <w:szCs w:val="18"/>
              </w:rPr>
              <w:t>23–25 gauge (wrists, MCPs, PIPs, MTPs).</w:t>
            </w:r>
          </w:p>
        </w:tc>
      </w:tr>
      <w:tr w:rsidR="00390AE2" w14:paraId="4CD0A5E6"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58AAC123" w14:textId="77777777" w:rsidR="00390AE2" w:rsidRDefault="00000000">
            <w:r>
              <w:rPr>
                <w:sz w:val="18"/>
                <w:szCs w:val="18"/>
              </w:rPr>
              <w:t>Syringes — injection</w:t>
            </w:r>
          </w:p>
        </w:tc>
        <w:tc>
          <w:tcPr>
            <w:tcW w:w="73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9C02ED0" w14:textId="77777777" w:rsidR="00390AE2" w:rsidRDefault="00000000">
            <w:r>
              <w:rPr>
                <w:sz w:val="18"/>
                <w:szCs w:val="18"/>
              </w:rPr>
              <w:t>2–5 ml for corticosteroid ± local anaesthetic.</w:t>
            </w:r>
          </w:p>
        </w:tc>
      </w:tr>
      <w:tr w:rsidR="00390AE2" w14:paraId="00007292"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B793534" w14:textId="77777777" w:rsidR="00390AE2" w:rsidRDefault="00000000">
            <w:r>
              <w:rPr>
                <w:sz w:val="18"/>
                <w:szCs w:val="18"/>
              </w:rPr>
              <w:t>Syringes — aspiration</w:t>
            </w:r>
          </w:p>
        </w:tc>
        <w:tc>
          <w:tcPr>
            <w:tcW w:w="73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3FB051F" w14:textId="77777777" w:rsidR="00390AE2" w:rsidRDefault="00000000">
            <w:r>
              <w:rPr>
                <w:sz w:val="18"/>
                <w:szCs w:val="18"/>
              </w:rPr>
              <w:t xml:space="preserve">10–50 ml. Use </w:t>
            </w:r>
            <w:proofErr w:type="gramStart"/>
            <w:r>
              <w:rPr>
                <w:sz w:val="18"/>
                <w:szCs w:val="18"/>
              </w:rPr>
              <w:t>18 gauge</w:t>
            </w:r>
            <w:proofErr w:type="gramEnd"/>
            <w:r>
              <w:rPr>
                <w:sz w:val="18"/>
                <w:szCs w:val="18"/>
              </w:rPr>
              <w:t xml:space="preserve"> needle for thick or purulent fluid.</w:t>
            </w:r>
          </w:p>
        </w:tc>
      </w:tr>
      <w:tr w:rsidR="00390AE2" w14:paraId="2D97B10F"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C380BB4" w14:textId="77777777" w:rsidR="00390AE2" w:rsidRDefault="00000000">
            <w:r>
              <w:rPr>
                <w:sz w:val="18"/>
                <w:szCs w:val="18"/>
              </w:rPr>
              <w:t>Specimen containers</w:t>
            </w:r>
          </w:p>
        </w:tc>
        <w:tc>
          <w:tcPr>
            <w:tcW w:w="73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D25C8DD" w14:textId="77777777" w:rsidR="00390AE2" w:rsidRDefault="00000000">
            <w:r>
              <w:rPr>
                <w:sz w:val="18"/>
                <w:szCs w:val="18"/>
              </w:rPr>
              <w:t>EDTA tube (cell count) · plain tube (biochemistry) · sterile pot (culture).</w:t>
            </w:r>
          </w:p>
        </w:tc>
      </w:tr>
      <w:tr w:rsidR="00390AE2" w14:paraId="014193F2"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F706025" w14:textId="77777777" w:rsidR="00390AE2" w:rsidRDefault="00000000">
            <w:r>
              <w:rPr>
                <w:sz w:val="18"/>
                <w:szCs w:val="18"/>
              </w:rPr>
              <w:t>Dressing</w:t>
            </w:r>
          </w:p>
        </w:tc>
        <w:tc>
          <w:tcPr>
            <w:tcW w:w="73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0525412A" w14:textId="77777777" w:rsidR="00390AE2" w:rsidRDefault="00000000">
            <w:r>
              <w:rPr>
                <w:sz w:val="18"/>
                <w:szCs w:val="18"/>
              </w:rPr>
              <w:t>Simple adhesive plaster post-procedure.</w:t>
            </w:r>
          </w:p>
        </w:tc>
      </w:tr>
    </w:tbl>
    <w:p w14:paraId="4BD55A6B"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526D6505"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52FA9ADB"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73139CA5" w14:textId="77777777" w:rsidR="00390AE2" w:rsidRDefault="00000000">
            <w:r>
              <w:rPr>
                <w:b/>
                <w:bCs/>
                <w:color w:val="0B8A8A"/>
                <w:sz w:val="26"/>
                <w:szCs w:val="26"/>
              </w:rPr>
              <w:t>Step-by-Step Technique</w:t>
            </w:r>
          </w:p>
        </w:tc>
      </w:tr>
    </w:tbl>
    <w:p w14:paraId="49C94D0E" w14:textId="77777777" w:rsidR="00390AE2" w:rsidRDefault="00390AE2">
      <w:pPr>
        <w:spacing w:before="40"/>
      </w:pPr>
    </w:p>
    <w:p w14:paraId="4A9DDC90" w14:textId="77777777" w:rsidR="00390AE2" w:rsidRDefault="00000000">
      <w:pPr>
        <w:spacing w:before="60" w:after="60"/>
        <w:ind w:left="360" w:hanging="360"/>
      </w:pPr>
      <w:r>
        <w:rPr>
          <w:b/>
          <w:bCs/>
          <w:color w:val="0B8A8A"/>
        </w:rPr>
        <w:t xml:space="preserve">1.  </w:t>
      </w:r>
      <w:r>
        <w:t>Obtain informed consent. Explain the procedure, risks, and benefits. Document consent.</w:t>
      </w:r>
    </w:p>
    <w:p w14:paraId="25236F49" w14:textId="77777777" w:rsidR="00390AE2" w:rsidRDefault="00000000">
      <w:pPr>
        <w:spacing w:before="60" w:after="60"/>
        <w:ind w:left="360" w:hanging="360"/>
      </w:pPr>
      <w:r>
        <w:rPr>
          <w:b/>
          <w:bCs/>
          <w:color w:val="0B8A8A"/>
        </w:rPr>
        <w:t xml:space="preserve">2.  </w:t>
      </w:r>
      <w:r>
        <w:t>Position the patient supine or recumbent. For shoulder procedures, always seat the patient with armrests and an assistant present.</w:t>
      </w:r>
    </w:p>
    <w:p w14:paraId="5B70F75E" w14:textId="77777777" w:rsidR="00390AE2" w:rsidRDefault="00000000">
      <w:pPr>
        <w:spacing w:before="60" w:after="60"/>
        <w:ind w:left="360" w:hanging="360"/>
      </w:pPr>
      <w:r>
        <w:rPr>
          <w:b/>
          <w:bCs/>
          <w:color w:val="0B8A8A"/>
        </w:rPr>
        <w:t xml:space="preserve">3.  </w:t>
      </w:r>
      <w:r>
        <w:t>Identify landmarks by palpation before cleaning the skin. Mark the needle entry point with a thumbnail imprint or sterile pen.</w:t>
      </w:r>
    </w:p>
    <w:p w14:paraId="17CEC5AA" w14:textId="77777777" w:rsidR="00390AE2" w:rsidRDefault="00000000">
      <w:pPr>
        <w:spacing w:before="60" w:after="60"/>
        <w:ind w:left="360" w:hanging="360"/>
      </w:pPr>
      <w:r>
        <w:rPr>
          <w:b/>
          <w:bCs/>
          <w:color w:val="0B8A8A"/>
        </w:rPr>
        <w:t xml:space="preserve">4.  </w:t>
      </w:r>
      <w:r>
        <w:t>Clean the skin thoroughly with chlorhexidine 2% in alcohol. Allow it to dry completely.</w:t>
      </w:r>
    </w:p>
    <w:p w14:paraId="7281CF8A" w14:textId="77777777" w:rsidR="00390AE2" w:rsidRDefault="00000000">
      <w:pPr>
        <w:spacing w:before="60" w:after="60"/>
        <w:ind w:left="360" w:hanging="360"/>
      </w:pPr>
      <w:r>
        <w:rPr>
          <w:b/>
          <w:bCs/>
          <w:color w:val="0B8A8A"/>
        </w:rPr>
        <w:t xml:space="preserve">5.  </w:t>
      </w:r>
      <w:r>
        <w:t>Local anaesthetic is optional for small joints and tendon sheaths. For larger joints or anxious patients, infiltrate to the joint capsule with 1% lidocaine (without adrenaline). Many experienced practitioners prefer a single swift needle thrust — it is less painful than LA infiltration.</w:t>
      </w:r>
    </w:p>
    <w:p w14:paraId="7903D797" w14:textId="77777777" w:rsidR="00390AE2" w:rsidRDefault="00000000">
      <w:pPr>
        <w:spacing w:before="60" w:after="60"/>
        <w:ind w:left="360" w:hanging="360"/>
      </w:pPr>
      <w:r>
        <w:rPr>
          <w:b/>
          <w:bCs/>
          <w:color w:val="0B8A8A"/>
        </w:rPr>
        <w:t xml:space="preserve">6.  </w:t>
      </w:r>
      <w:r>
        <w:t>Insert the needle with a confident single thrust. A "give" or "pop" indicates entry into the joint space. Never inject against resistance.</w:t>
      </w:r>
    </w:p>
    <w:p w14:paraId="2372C2CE" w14:textId="77777777" w:rsidR="00390AE2" w:rsidRDefault="00000000">
      <w:pPr>
        <w:spacing w:before="60" w:after="60"/>
        <w:ind w:left="360" w:hanging="360"/>
      </w:pPr>
      <w:r>
        <w:rPr>
          <w:b/>
          <w:bCs/>
          <w:color w:val="0B8A8A"/>
        </w:rPr>
        <w:t xml:space="preserve">7.  </w:t>
      </w:r>
      <w:r>
        <w:t>Aspirate before injecting. For intra-articular injections, confirm placement by aspirating fluid. For periarticular injections, confirm easy flow with local anaesthetic first.</w:t>
      </w:r>
    </w:p>
    <w:p w14:paraId="04A81190" w14:textId="77777777" w:rsidR="00390AE2" w:rsidRDefault="00000000">
      <w:pPr>
        <w:spacing w:before="60" w:after="60"/>
        <w:ind w:left="360" w:hanging="360"/>
      </w:pPr>
      <w:r>
        <w:rPr>
          <w:b/>
          <w:bCs/>
          <w:color w:val="0B8A8A"/>
        </w:rPr>
        <w:t xml:space="preserve">8.  </w:t>
      </w:r>
      <w:r>
        <w:t>When changing from aspiration to injection syringe, hold the needle firmly with forceps to prevent displacement.</w:t>
      </w:r>
    </w:p>
    <w:p w14:paraId="3EB661AF" w14:textId="77777777" w:rsidR="00390AE2" w:rsidRDefault="00000000">
      <w:pPr>
        <w:spacing w:before="60" w:after="60"/>
        <w:ind w:left="360" w:hanging="360"/>
      </w:pPr>
      <w:r>
        <w:rPr>
          <w:b/>
          <w:bCs/>
          <w:color w:val="0B8A8A"/>
        </w:rPr>
        <w:t xml:space="preserve">9.  </w:t>
      </w:r>
      <w:r>
        <w:t>Withdraw the needle swiftly. Apply firm pressure for at least 2 minutes. Cover with a plaster.</w:t>
      </w:r>
    </w:p>
    <w:p w14:paraId="75CE3C08"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1C67C8FE" w14:textId="77777777">
        <w:tblPrEx>
          <w:tblCellMar>
            <w:top w:w="0" w:type="dxa"/>
            <w:bottom w:w="0" w:type="dxa"/>
          </w:tblCellMar>
        </w:tblPrEx>
        <w:tc>
          <w:tcPr>
            <w:tcW w:w="9746" w:type="dxa"/>
            <w:tcBorders>
              <w:top w:val="single" w:sz="12" w:space="0" w:color="B45309"/>
              <w:left w:val="single" w:sz="28" w:space="0" w:color="B45309"/>
              <w:bottom w:val="single" w:sz="12" w:space="0" w:color="B45309"/>
              <w:right w:val="single" w:sz="12" w:space="0" w:color="B45309"/>
            </w:tcBorders>
            <w:shd w:val="clear" w:color="auto" w:fill="FFF3CD"/>
            <w:tcMar>
              <w:top w:w="140" w:type="dxa"/>
              <w:left w:w="220" w:type="dxa"/>
              <w:bottom w:w="140" w:type="dxa"/>
              <w:right w:w="220" w:type="dxa"/>
            </w:tcMar>
          </w:tcPr>
          <w:p w14:paraId="03E1E75C" w14:textId="77777777" w:rsidR="00390AE2" w:rsidRDefault="00000000">
            <w:pPr>
              <w:spacing w:after="80"/>
            </w:pPr>
            <w:proofErr w:type="gramStart"/>
            <w:r>
              <w:rPr>
                <w:b/>
                <w:bCs/>
                <w:color w:val="B45309"/>
                <w:sz w:val="18"/>
                <w:szCs w:val="18"/>
              </w:rPr>
              <w:t>⚠  CAUTION</w:t>
            </w:r>
            <w:proofErr w:type="gramEnd"/>
          </w:p>
          <w:p w14:paraId="0C756FFE" w14:textId="77777777" w:rsidR="00390AE2" w:rsidRDefault="00000000">
            <w:pPr>
              <w:spacing w:after="50"/>
            </w:pPr>
            <w:r>
              <w:rPr>
                <w:color w:val="B45309"/>
                <w:sz w:val="19"/>
                <w:szCs w:val="19"/>
              </w:rPr>
              <w:t>Never inject against unexpected resistance — the needle tip is likely in tendon tissue.</w:t>
            </w:r>
          </w:p>
          <w:p w14:paraId="10562643" w14:textId="77777777" w:rsidR="00390AE2" w:rsidRDefault="00000000">
            <w:pPr>
              <w:spacing w:after="50"/>
            </w:pPr>
            <w:r>
              <w:rPr>
                <w:color w:val="B45309"/>
                <w:sz w:val="19"/>
                <w:szCs w:val="19"/>
              </w:rPr>
              <w:t>Do not inject directly into tendon substance — this is a primary cause of tendon rupture.</w:t>
            </w:r>
          </w:p>
          <w:p w14:paraId="54069AA7" w14:textId="77777777" w:rsidR="00390AE2" w:rsidRDefault="00000000">
            <w:pPr>
              <w:spacing w:after="50"/>
            </w:pPr>
            <w:r>
              <w:rPr>
                <w:color w:val="B45309"/>
                <w:sz w:val="19"/>
                <w:szCs w:val="19"/>
              </w:rPr>
              <w:t>Do not reuse needles or syringes. Maintain strict no-touch technique throughout.</w:t>
            </w:r>
          </w:p>
        </w:tc>
      </w:tr>
    </w:tbl>
    <w:p w14:paraId="54968752" w14:textId="528A2BF0" w:rsidR="00014114" w:rsidRDefault="00014114">
      <w:pPr>
        <w:spacing w:before="60"/>
      </w:pPr>
    </w:p>
    <w:p w14:paraId="19C46BAF" w14:textId="77777777" w:rsidR="00014114" w:rsidRDefault="00014114">
      <w:r>
        <w:br w:type="page"/>
      </w:r>
    </w:p>
    <w:p w14:paraId="0F23268A"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0E3EA0F9"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2DD246D5"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76F41E63" w14:textId="77777777" w:rsidR="00390AE2" w:rsidRDefault="00000000">
            <w:r>
              <w:rPr>
                <w:b/>
                <w:bCs/>
                <w:color w:val="0B8A8A"/>
                <w:sz w:val="26"/>
                <w:szCs w:val="26"/>
              </w:rPr>
              <w:t>Aftercare</w:t>
            </w:r>
          </w:p>
        </w:tc>
      </w:tr>
    </w:tbl>
    <w:p w14:paraId="13B21E3E" w14:textId="77777777" w:rsidR="00390AE2" w:rsidRDefault="00390AE2">
      <w:pPr>
        <w:spacing w:before="40"/>
      </w:pPr>
    </w:p>
    <w:p w14:paraId="333EE353" w14:textId="77777777" w:rsidR="00390AE2" w:rsidRDefault="00000000">
      <w:pPr>
        <w:pStyle w:val="ListParagraph"/>
        <w:numPr>
          <w:ilvl w:val="0"/>
          <w:numId w:val="2"/>
        </w:numPr>
        <w:spacing w:before="50" w:after="50"/>
      </w:pPr>
      <w:r>
        <w:t>Rest the injected joint for 24–48 hours. This minimises leakage and optimises anti-inflammatory response.</w:t>
      </w:r>
    </w:p>
    <w:p w14:paraId="0EA3C6D7" w14:textId="77777777" w:rsidR="00390AE2" w:rsidRDefault="00000000">
      <w:pPr>
        <w:pStyle w:val="ListParagraph"/>
        <w:numPr>
          <w:ilvl w:val="0"/>
          <w:numId w:val="2"/>
        </w:numPr>
        <w:spacing w:before="50" w:after="50"/>
      </w:pPr>
      <w:r>
        <w:t>Warn all patients: post-injection flare occurs in ~5% of cases — transient pain and swelling 4–24 hours post-injection, caused by corticosteroid crystal synovitis (not infection). Resolves within 48 hours.</w:t>
      </w:r>
    </w:p>
    <w:p w14:paraId="3C0FD7DC" w14:textId="77777777" w:rsidR="00390AE2" w:rsidRDefault="00000000">
      <w:pPr>
        <w:pStyle w:val="ListParagraph"/>
        <w:numPr>
          <w:ilvl w:val="0"/>
          <w:numId w:val="2"/>
        </w:numPr>
        <w:spacing w:before="50" w:after="50"/>
      </w:pPr>
      <w:r>
        <w:t>Warn all patients: facial flushing affects up to 40% — transient, harmless, but alarming if unexpected.</w:t>
      </w:r>
    </w:p>
    <w:p w14:paraId="46D8DDC6" w14:textId="77777777" w:rsidR="00390AE2" w:rsidRDefault="00000000">
      <w:pPr>
        <w:pStyle w:val="ListParagraph"/>
        <w:numPr>
          <w:ilvl w:val="0"/>
          <w:numId w:val="2"/>
        </w:numPr>
        <w:spacing w:before="50" w:after="50"/>
      </w:pPr>
      <w:r>
        <w:t xml:space="preserve">Warn diabetic patients to monitor blood glucose for at least </w:t>
      </w:r>
      <w:proofErr w:type="gramStart"/>
      <w:r>
        <w:t>one week</w:t>
      </w:r>
      <w:proofErr w:type="gramEnd"/>
      <w:r>
        <w:t xml:space="preserve"> post-injection.</w:t>
      </w:r>
    </w:p>
    <w:p w14:paraId="08C0E061" w14:textId="77777777" w:rsidR="00390AE2" w:rsidRDefault="00000000">
      <w:pPr>
        <w:pStyle w:val="ListParagraph"/>
        <w:numPr>
          <w:ilvl w:val="0"/>
          <w:numId w:val="2"/>
        </w:numPr>
        <w:spacing w:before="50" w:after="50"/>
      </w:pPr>
      <w:r>
        <w:t>Provide written aftercare information including when to return urgently.</w:t>
      </w:r>
    </w:p>
    <w:p w14:paraId="6A6CAED8"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14797866" w14:textId="77777777">
        <w:tblPrEx>
          <w:tblCellMar>
            <w:top w:w="0" w:type="dxa"/>
            <w:bottom w:w="0" w:type="dxa"/>
          </w:tblCellMar>
        </w:tblPrEx>
        <w:tc>
          <w:tcPr>
            <w:tcW w:w="9746" w:type="dxa"/>
            <w:tcBorders>
              <w:top w:val="single" w:sz="12" w:space="0" w:color="9B1C1C"/>
              <w:left w:val="single" w:sz="28" w:space="0" w:color="9B1C1C"/>
              <w:bottom w:val="single" w:sz="12" w:space="0" w:color="9B1C1C"/>
              <w:right w:val="single" w:sz="12" w:space="0" w:color="9B1C1C"/>
            </w:tcBorders>
            <w:shd w:val="clear" w:color="auto" w:fill="FEE2E2"/>
            <w:tcMar>
              <w:top w:w="140" w:type="dxa"/>
              <w:left w:w="220" w:type="dxa"/>
              <w:bottom w:w="140" w:type="dxa"/>
              <w:right w:w="220" w:type="dxa"/>
            </w:tcMar>
          </w:tcPr>
          <w:p w14:paraId="667C8ADA" w14:textId="77777777" w:rsidR="00390AE2" w:rsidRDefault="00000000">
            <w:pPr>
              <w:spacing w:after="80"/>
            </w:pPr>
            <w:proofErr w:type="gramStart"/>
            <w:r>
              <w:rPr>
                <w:b/>
                <w:bCs/>
                <w:color w:val="9B1C1C"/>
                <w:sz w:val="18"/>
                <w:szCs w:val="18"/>
              </w:rPr>
              <w:t>🔴  SAFETY</w:t>
            </w:r>
            <w:proofErr w:type="gramEnd"/>
            <w:r>
              <w:rPr>
                <w:b/>
                <w:bCs/>
                <w:color w:val="9B1C1C"/>
                <w:sz w:val="18"/>
                <w:szCs w:val="18"/>
              </w:rPr>
              <w:t>-NETTING — ADVISE ALL PATIENTS</w:t>
            </w:r>
          </w:p>
          <w:p w14:paraId="52E7CD19" w14:textId="77777777" w:rsidR="00390AE2" w:rsidRDefault="00000000">
            <w:pPr>
              <w:spacing w:after="50"/>
            </w:pPr>
            <w:r>
              <w:rPr>
                <w:color w:val="9B1C1C"/>
                <w:sz w:val="19"/>
                <w:szCs w:val="19"/>
              </w:rPr>
              <w:t>Advise patients to return urgently if: pain and swelling increase after 48 hours, systemic symptoms develop (fever, rigors), or the skin becomes red, hot, and fluctuant.</w:t>
            </w:r>
          </w:p>
          <w:p w14:paraId="21B4143F" w14:textId="77777777" w:rsidR="00390AE2" w:rsidRDefault="00000000">
            <w:pPr>
              <w:spacing w:after="50"/>
            </w:pPr>
            <w:r>
              <w:rPr>
                <w:color w:val="9B1C1C"/>
                <w:sz w:val="19"/>
                <w:szCs w:val="19"/>
              </w:rPr>
              <w:t>These features must be investigated urgently for iatrogenic septic arthritis.</w:t>
            </w:r>
          </w:p>
        </w:tc>
      </w:tr>
    </w:tbl>
    <w:p w14:paraId="130CADC9" w14:textId="77777777" w:rsidR="00390AE2" w:rsidRDefault="00390AE2">
      <w:pPr>
        <w:spacing w:before="40"/>
      </w:pPr>
    </w:p>
    <w:p w14:paraId="6873AB7E"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2D03F697"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3886F8CF" w14:textId="77777777" w:rsidR="00390AE2" w:rsidRDefault="00000000">
            <w:r>
              <w:rPr>
                <w:b/>
                <w:bCs/>
                <w:color w:val="FFFFFF"/>
                <w:sz w:val="32"/>
                <w:szCs w:val="32"/>
              </w:rPr>
              <w:t>Corticosteroid Injections — Principles</w:t>
            </w:r>
          </w:p>
        </w:tc>
      </w:tr>
    </w:tbl>
    <w:p w14:paraId="0C17CD16"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2770F7A6"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08236A63"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51B4FD94" w14:textId="77777777" w:rsidR="00390AE2" w:rsidRDefault="00000000">
            <w:r>
              <w:rPr>
                <w:b/>
                <w:bCs/>
                <w:color w:val="0B8A8A"/>
                <w:sz w:val="26"/>
                <w:szCs w:val="26"/>
              </w:rPr>
              <w:t>Mechanism</w:t>
            </w:r>
          </w:p>
        </w:tc>
      </w:tr>
    </w:tbl>
    <w:p w14:paraId="33D96FD3" w14:textId="77777777" w:rsidR="00390AE2" w:rsidRDefault="00390AE2">
      <w:pPr>
        <w:spacing w:before="40"/>
      </w:pPr>
    </w:p>
    <w:p w14:paraId="37A3C74C" w14:textId="77777777" w:rsidR="00390AE2" w:rsidRDefault="00000000">
      <w:pPr>
        <w:spacing w:before="80" w:after="80"/>
      </w:pPr>
      <w:r>
        <w:t>Corticosteroids reduce local inflammation by suppressing the synovial lining and reducing inflammatory mediator release. Crystalline long-acting preparations are deposited in the target tissue, taken up by synovial cells, and slowly released. A small proportion enters the systemic circulation — systemic effects are real and must be anticipated.</w:t>
      </w:r>
    </w:p>
    <w:p w14:paraId="212179B1"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7F7E05E6"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1C462EEE"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4B8319B5" w14:textId="77777777" w:rsidR="00390AE2" w:rsidRDefault="00000000">
            <w:r>
              <w:rPr>
                <w:b/>
                <w:bCs/>
                <w:color w:val="0B8A8A"/>
                <w:sz w:val="26"/>
                <w:szCs w:val="26"/>
              </w:rPr>
              <w:t>Choice of Corticosteroid in UK Practice</w:t>
            </w:r>
          </w:p>
        </w:tc>
      </w:tr>
    </w:tbl>
    <w:p w14:paraId="20B53DE5"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00"/>
        <w:gridCol w:w="1500"/>
        <w:gridCol w:w="2800"/>
        <w:gridCol w:w="3146"/>
      </w:tblGrid>
      <w:tr w:rsidR="00390AE2" w14:paraId="07D371C9" w14:textId="77777777">
        <w:tblPrEx>
          <w:tblCellMar>
            <w:top w:w="0" w:type="dxa"/>
            <w:bottom w:w="0" w:type="dxa"/>
          </w:tblCellMar>
        </w:tblPrEx>
        <w:trPr>
          <w:tblHeader/>
        </w:trPr>
        <w:tc>
          <w:tcPr>
            <w:tcW w:w="23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64143F0C" w14:textId="77777777" w:rsidR="00390AE2" w:rsidRDefault="00000000">
            <w:r>
              <w:rPr>
                <w:b/>
                <w:bCs/>
                <w:color w:val="FFFFFF"/>
                <w:sz w:val="18"/>
                <w:szCs w:val="18"/>
              </w:rPr>
              <w:t>Preparation</w:t>
            </w:r>
          </w:p>
        </w:tc>
        <w:tc>
          <w:tcPr>
            <w:tcW w:w="15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77C3ACC9" w14:textId="77777777" w:rsidR="00390AE2" w:rsidRDefault="00000000">
            <w:r>
              <w:rPr>
                <w:b/>
                <w:bCs/>
                <w:color w:val="FFFFFF"/>
                <w:sz w:val="18"/>
                <w:szCs w:val="18"/>
              </w:rPr>
              <w:t>Brand</w:t>
            </w:r>
          </w:p>
        </w:tc>
        <w:tc>
          <w:tcPr>
            <w:tcW w:w="28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28C89DC5" w14:textId="77777777" w:rsidR="00390AE2" w:rsidRDefault="00000000">
            <w:r>
              <w:rPr>
                <w:b/>
                <w:bCs/>
                <w:color w:val="FFFFFF"/>
                <w:sz w:val="18"/>
                <w:szCs w:val="18"/>
              </w:rPr>
              <w:t>Typical Use</w:t>
            </w:r>
          </w:p>
        </w:tc>
        <w:tc>
          <w:tcPr>
            <w:tcW w:w="3146"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3359670F" w14:textId="77777777" w:rsidR="00390AE2" w:rsidRDefault="00000000">
            <w:r>
              <w:rPr>
                <w:b/>
                <w:bCs/>
                <w:color w:val="FFFFFF"/>
                <w:sz w:val="18"/>
                <w:szCs w:val="18"/>
              </w:rPr>
              <w:t>Key Consideration</w:t>
            </w:r>
          </w:p>
        </w:tc>
      </w:tr>
      <w:tr w:rsidR="00390AE2" w14:paraId="4AF5379F" w14:textId="77777777">
        <w:tblPrEx>
          <w:tblCellMar>
            <w:top w:w="0" w:type="dxa"/>
            <w:bottom w:w="0" w:type="dxa"/>
          </w:tblCellMar>
        </w:tblPrEx>
        <w:tc>
          <w:tcPr>
            <w:tcW w:w="23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5C0DC7F" w14:textId="77777777" w:rsidR="00390AE2" w:rsidRDefault="00000000">
            <w:r>
              <w:rPr>
                <w:sz w:val="18"/>
                <w:szCs w:val="18"/>
              </w:rPr>
              <w:t>Methylprednisolone acetate</w:t>
            </w:r>
          </w:p>
        </w:tc>
        <w:tc>
          <w:tcPr>
            <w:tcW w:w="15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2D7E1FB" w14:textId="77777777" w:rsidR="00390AE2" w:rsidRDefault="00000000">
            <w:r>
              <w:rPr>
                <w:sz w:val="18"/>
                <w:szCs w:val="18"/>
              </w:rPr>
              <w:t>Depo-</w:t>
            </w:r>
            <w:proofErr w:type="spellStart"/>
            <w:r>
              <w:rPr>
                <w:sz w:val="18"/>
                <w:szCs w:val="18"/>
              </w:rPr>
              <w:t>Medrone</w:t>
            </w:r>
            <w:proofErr w:type="spellEnd"/>
            <w:r>
              <w:rPr>
                <w:sz w:val="18"/>
                <w:szCs w:val="18"/>
              </w:rPr>
              <w:t>®</w:t>
            </w:r>
          </w:p>
        </w:tc>
        <w:tc>
          <w:tcPr>
            <w:tcW w:w="28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0F053EF7" w14:textId="77777777" w:rsidR="00390AE2" w:rsidRDefault="00000000">
            <w:r>
              <w:rPr>
                <w:sz w:val="18"/>
                <w:szCs w:val="18"/>
              </w:rPr>
              <w:t>Periarticular, tendon sheaths, bursae, small–medium joints</w:t>
            </w:r>
          </w:p>
        </w:tc>
        <w:tc>
          <w:tcPr>
            <w:tcW w:w="31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74D48F8" w14:textId="77777777" w:rsidR="00390AE2" w:rsidRDefault="00000000">
            <w:r>
              <w:rPr>
                <w:sz w:val="18"/>
                <w:szCs w:val="18"/>
              </w:rPr>
              <w:t>Preferred for superficial injections — lower risk of skin atrophy</w:t>
            </w:r>
          </w:p>
        </w:tc>
      </w:tr>
      <w:tr w:rsidR="00390AE2" w14:paraId="785BEAAB" w14:textId="77777777">
        <w:tblPrEx>
          <w:tblCellMar>
            <w:top w:w="0" w:type="dxa"/>
            <w:bottom w:w="0" w:type="dxa"/>
          </w:tblCellMar>
        </w:tblPrEx>
        <w:tc>
          <w:tcPr>
            <w:tcW w:w="23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C63AD52" w14:textId="77777777" w:rsidR="00390AE2" w:rsidRDefault="00000000">
            <w:r>
              <w:rPr>
                <w:sz w:val="18"/>
                <w:szCs w:val="18"/>
              </w:rPr>
              <w:t>Triamcinolone acetonide</w:t>
            </w:r>
          </w:p>
        </w:tc>
        <w:tc>
          <w:tcPr>
            <w:tcW w:w="15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56FD0578" w14:textId="77777777" w:rsidR="00390AE2" w:rsidRDefault="00000000">
            <w:r>
              <w:rPr>
                <w:sz w:val="18"/>
                <w:szCs w:val="18"/>
              </w:rPr>
              <w:t>Kenalog®</w:t>
            </w:r>
          </w:p>
        </w:tc>
        <w:tc>
          <w:tcPr>
            <w:tcW w:w="28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3C7AEE6" w14:textId="77777777" w:rsidR="00390AE2" w:rsidRDefault="00000000">
            <w:r>
              <w:rPr>
                <w:sz w:val="18"/>
                <w:szCs w:val="18"/>
              </w:rPr>
              <w:t>Large intra-articular (glenohumeral, knee)</w:t>
            </w:r>
          </w:p>
        </w:tc>
        <w:tc>
          <w:tcPr>
            <w:tcW w:w="31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5E8D9361" w14:textId="77777777" w:rsidR="00390AE2" w:rsidRDefault="00000000">
            <w:r>
              <w:rPr>
                <w:sz w:val="18"/>
                <w:szCs w:val="18"/>
              </w:rPr>
              <w:t xml:space="preserve">More potent, </w:t>
            </w:r>
            <w:proofErr w:type="gramStart"/>
            <w:r>
              <w:rPr>
                <w:sz w:val="18"/>
                <w:szCs w:val="18"/>
              </w:rPr>
              <w:t>longer-acting</w:t>
            </w:r>
            <w:proofErr w:type="gramEnd"/>
            <w:r>
              <w:rPr>
                <w:sz w:val="18"/>
                <w:szCs w:val="18"/>
              </w:rPr>
              <w:t>. Avoid for superficial or peritendinous use</w:t>
            </w:r>
          </w:p>
        </w:tc>
      </w:tr>
      <w:tr w:rsidR="00390AE2" w14:paraId="17AB23EB" w14:textId="77777777">
        <w:tblPrEx>
          <w:tblCellMar>
            <w:top w:w="0" w:type="dxa"/>
            <w:bottom w:w="0" w:type="dxa"/>
          </w:tblCellMar>
        </w:tblPrEx>
        <w:tc>
          <w:tcPr>
            <w:tcW w:w="23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9469AAD" w14:textId="77777777" w:rsidR="00390AE2" w:rsidRDefault="00000000">
            <w:r>
              <w:rPr>
                <w:sz w:val="18"/>
                <w:szCs w:val="18"/>
              </w:rPr>
              <w:t>Hydrocortisone acetate</w:t>
            </w:r>
          </w:p>
        </w:tc>
        <w:tc>
          <w:tcPr>
            <w:tcW w:w="15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4A8E918" w14:textId="77777777" w:rsidR="00390AE2" w:rsidRDefault="00000000">
            <w:r>
              <w:rPr>
                <w:sz w:val="18"/>
                <w:szCs w:val="18"/>
              </w:rPr>
              <w:t>—</w:t>
            </w:r>
          </w:p>
        </w:tc>
        <w:tc>
          <w:tcPr>
            <w:tcW w:w="28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F02F623" w14:textId="77777777" w:rsidR="00390AE2" w:rsidRDefault="00000000">
            <w:r>
              <w:rPr>
                <w:sz w:val="18"/>
                <w:szCs w:val="18"/>
              </w:rPr>
              <w:t>Superficial small joints, trigger finger</w:t>
            </w:r>
          </w:p>
        </w:tc>
        <w:tc>
          <w:tcPr>
            <w:tcW w:w="31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FA9944D" w14:textId="77777777" w:rsidR="00390AE2" w:rsidRDefault="00000000">
            <w:r>
              <w:rPr>
                <w:sz w:val="18"/>
                <w:szCs w:val="18"/>
              </w:rPr>
              <w:t>Short-acting, lower systemic effect</w:t>
            </w:r>
          </w:p>
        </w:tc>
      </w:tr>
    </w:tbl>
    <w:p w14:paraId="1B8DAEF6"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7ABBE386"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257DDCE0" w14:textId="77777777" w:rsidR="00390AE2" w:rsidRDefault="00000000">
            <w:pPr>
              <w:spacing w:after="80"/>
            </w:pPr>
            <w:r>
              <w:rPr>
                <w:b/>
                <w:bCs/>
                <w:color w:val="166534"/>
                <w:sz w:val="18"/>
                <w:szCs w:val="18"/>
              </w:rPr>
              <w:t>DRUG SELECTION — IMPORTANT</w:t>
            </w:r>
          </w:p>
          <w:p w14:paraId="688F381E" w14:textId="77777777" w:rsidR="00390AE2" w:rsidRDefault="00000000">
            <w:pPr>
              <w:spacing w:after="50"/>
            </w:pPr>
            <w:r>
              <w:rPr>
                <w:color w:val="166534"/>
                <w:sz w:val="19"/>
                <w:szCs w:val="19"/>
              </w:rPr>
              <w:t>Use methylprednisolone acetate (not triamcinolone) for all periarticular and soft tissue injections.</w:t>
            </w:r>
          </w:p>
          <w:p w14:paraId="5968C052" w14:textId="77777777" w:rsidR="00390AE2" w:rsidRDefault="00000000">
            <w:pPr>
              <w:spacing w:after="50"/>
            </w:pPr>
            <w:r>
              <w:rPr>
                <w:color w:val="166534"/>
                <w:sz w:val="19"/>
                <w:szCs w:val="19"/>
              </w:rPr>
              <w:t xml:space="preserve">De </w:t>
            </w:r>
            <w:proofErr w:type="spellStart"/>
            <w:r>
              <w:rPr>
                <w:color w:val="166534"/>
                <w:sz w:val="19"/>
                <w:szCs w:val="19"/>
              </w:rPr>
              <w:t>Quervain's</w:t>
            </w:r>
            <w:proofErr w:type="spellEnd"/>
            <w:r>
              <w:rPr>
                <w:color w:val="166534"/>
                <w:sz w:val="19"/>
                <w:szCs w:val="19"/>
              </w:rPr>
              <w:t xml:space="preserve"> tenosynovitis and olecranon bursa injections: triamcinolone carries high risk of skin atrophy and disfiguring hypopigmentation.</w:t>
            </w:r>
          </w:p>
          <w:p w14:paraId="22A6F96F" w14:textId="77777777" w:rsidR="00390AE2" w:rsidRDefault="00000000">
            <w:pPr>
              <w:spacing w:after="50"/>
            </w:pPr>
            <w:r>
              <w:rPr>
                <w:color w:val="166534"/>
                <w:sz w:val="19"/>
                <w:szCs w:val="19"/>
              </w:rPr>
              <w:t xml:space="preserve">If triamcinolone </w:t>
            </w:r>
            <w:proofErr w:type="spellStart"/>
            <w:r>
              <w:rPr>
                <w:color w:val="166534"/>
                <w:sz w:val="19"/>
                <w:szCs w:val="19"/>
              </w:rPr>
              <w:t>hexacetonide</w:t>
            </w:r>
            <w:proofErr w:type="spellEnd"/>
            <w:r>
              <w:rPr>
                <w:color w:val="166534"/>
                <w:sz w:val="19"/>
                <w:szCs w:val="19"/>
              </w:rPr>
              <w:t xml:space="preserve"> (</w:t>
            </w:r>
            <w:proofErr w:type="spellStart"/>
            <w:r>
              <w:rPr>
                <w:color w:val="166534"/>
                <w:sz w:val="19"/>
                <w:szCs w:val="19"/>
              </w:rPr>
              <w:t>Lederspan</w:t>
            </w:r>
            <w:proofErr w:type="spellEnd"/>
            <w:r>
              <w:rPr>
                <w:color w:val="166534"/>
                <w:sz w:val="19"/>
                <w:szCs w:val="19"/>
              </w:rPr>
              <w:t>®) is used, choose the lower end of the dose range — it is approximately twice as potent as acetonide.</w:t>
            </w:r>
          </w:p>
        </w:tc>
      </w:tr>
    </w:tbl>
    <w:p w14:paraId="15148178" w14:textId="3903B7FA" w:rsidR="00014114" w:rsidRDefault="00014114">
      <w:pPr>
        <w:spacing w:before="60"/>
      </w:pPr>
    </w:p>
    <w:p w14:paraId="5EB5CA02" w14:textId="77777777" w:rsidR="00014114" w:rsidRDefault="00014114">
      <w:r>
        <w:br w:type="page"/>
      </w:r>
    </w:p>
    <w:p w14:paraId="540AAFB6"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65B2FAD4"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4EB7A0C0"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759EBC84" w14:textId="77777777" w:rsidR="00390AE2" w:rsidRDefault="00000000">
            <w:r>
              <w:rPr>
                <w:b/>
                <w:bCs/>
                <w:color w:val="0B8A8A"/>
                <w:sz w:val="26"/>
                <w:szCs w:val="26"/>
              </w:rPr>
              <w:t>Dosing Principles</w:t>
            </w:r>
          </w:p>
        </w:tc>
      </w:tr>
    </w:tbl>
    <w:p w14:paraId="1E4D7FFE" w14:textId="77777777" w:rsidR="00390AE2" w:rsidRDefault="00390AE2">
      <w:pPr>
        <w:spacing w:before="40"/>
      </w:pPr>
    </w:p>
    <w:p w14:paraId="1E33F91C" w14:textId="77777777" w:rsidR="00390AE2" w:rsidRDefault="00000000">
      <w:pPr>
        <w:spacing w:before="80" w:after="80"/>
      </w:pPr>
      <w:r>
        <w:t>All doses in this guide are expressed as methylprednisolone acetate equivalents (40 mg/ml). When triamcinolone acetonide is used, choose the lower figure from the range given.</w:t>
      </w:r>
    </w:p>
    <w:p w14:paraId="4AE865BD"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3A790EDA"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5093D0D6"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51BF7F07" w14:textId="77777777" w:rsidR="00390AE2" w:rsidRDefault="00000000">
            <w:r>
              <w:rPr>
                <w:b/>
                <w:bCs/>
                <w:color w:val="0B8A8A"/>
                <w:sz w:val="26"/>
                <w:szCs w:val="26"/>
              </w:rPr>
              <w:t>Complications — Consent Points</w:t>
            </w:r>
          </w:p>
        </w:tc>
      </w:tr>
    </w:tbl>
    <w:p w14:paraId="513B9CD5" w14:textId="77777777" w:rsidR="00390AE2" w:rsidRDefault="00390AE2">
      <w:pPr>
        <w:spacing w:before="40"/>
      </w:pPr>
    </w:p>
    <w:p w14:paraId="76FC76D6" w14:textId="77777777" w:rsidR="00390AE2" w:rsidRDefault="00000000">
      <w:pPr>
        <w:spacing w:before="80" w:after="80"/>
      </w:pPr>
      <w:r>
        <w:t xml:space="preserve">Most complications are rare when technique is correct. </w:t>
      </w:r>
      <w:proofErr w:type="gramStart"/>
      <w:r>
        <w:t>All of</w:t>
      </w:r>
      <w:proofErr w:type="gramEnd"/>
      <w:r>
        <w:t xml:space="preserve"> the following must be discussed with the patient before proceeding:</w:t>
      </w:r>
    </w:p>
    <w:p w14:paraId="4E67D951"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7146"/>
      </w:tblGrid>
      <w:tr w:rsidR="00390AE2" w14:paraId="385FC7FC" w14:textId="77777777">
        <w:tblPrEx>
          <w:tblCellMar>
            <w:top w:w="0" w:type="dxa"/>
            <w:bottom w:w="0" w:type="dxa"/>
          </w:tblCellMar>
        </w:tblPrEx>
        <w:trPr>
          <w:tblHeader/>
        </w:trPr>
        <w:tc>
          <w:tcPr>
            <w:tcW w:w="26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0108CFB9" w14:textId="77777777" w:rsidR="00390AE2" w:rsidRDefault="00000000">
            <w:r>
              <w:rPr>
                <w:b/>
                <w:bCs/>
                <w:color w:val="FFFFFF"/>
                <w:sz w:val="18"/>
                <w:szCs w:val="18"/>
              </w:rPr>
              <w:t>Complication</w:t>
            </w:r>
          </w:p>
        </w:tc>
        <w:tc>
          <w:tcPr>
            <w:tcW w:w="7146"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4A1590C6" w14:textId="77777777" w:rsidR="00390AE2" w:rsidRDefault="00000000">
            <w:r>
              <w:rPr>
                <w:b/>
                <w:bCs/>
                <w:color w:val="FFFFFF"/>
                <w:sz w:val="18"/>
                <w:szCs w:val="18"/>
              </w:rPr>
              <w:t>Details &amp; Management</w:t>
            </w:r>
          </w:p>
        </w:tc>
      </w:tr>
      <w:tr w:rsidR="00390AE2" w14:paraId="45A8F469" w14:textId="77777777">
        <w:tblPrEx>
          <w:tblCellMar>
            <w:top w:w="0" w:type="dxa"/>
            <w:bottom w:w="0" w:type="dxa"/>
          </w:tblCellMar>
        </w:tblPrEx>
        <w:tc>
          <w:tcPr>
            <w:tcW w:w="2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D87DB7F" w14:textId="77777777" w:rsidR="00390AE2" w:rsidRDefault="00000000">
            <w:r>
              <w:rPr>
                <w:sz w:val="18"/>
                <w:szCs w:val="18"/>
              </w:rPr>
              <w:t>Post-injection flare (5%)</w:t>
            </w:r>
          </w:p>
        </w:tc>
        <w:tc>
          <w:tcPr>
            <w:tcW w:w="71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FFC85E1" w14:textId="77777777" w:rsidR="00390AE2" w:rsidRDefault="00000000">
            <w:r>
              <w:rPr>
                <w:sz w:val="18"/>
                <w:szCs w:val="18"/>
              </w:rPr>
              <w:t>Pain worsens 4–24 hours post-injection. Caused by crystal-induced synovitis. Resolves within 48 hours. If symptoms persist or systemic features develop, re-aspirate urgently to exclude infection.</w:t>
            </w:r>
          </w:p>
        </w:tc>
      </w:tr>
      <w:tr w:rsidR="00390AE2" w14:paraId="52B242A4" w14:textId="77777777">
        <w:tblPrEx>
          <w:tblCellMar>
            <w:top w:w="0" w:type="dxa"/>
            <w:bottom w:w="0" w:type="dxa"/>
          </w:tblCellMar>
        </w:tblPrEx>
        <w:tc>
          <w:tcPr>
            <w:tcW w:w="26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DB53ABB" w14:textId="77777777" w:rsidR="00390AE2" w:rsidRDefault="00000000">
            <w:r>
              <w:rPr>
                <w:sz w:val="18"/>
                <w:szCs w:val="18"/>
              </w:rPr>
              <w:t>Facial flushing (up to 40%)</w:t>
            </w:r>
          </w:p>
        </w:tc>
        <w:tc>
          <w:tcPr>
            <w:tcW w:w="71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C9B08ED" w14:textId="77777777" w:rsidR="00390AE2" w:rsidRDefault="00000000">
            <w:r>
              <w:rPr>
                <w:sz w:val="18"/>
                <w:szCs w:val="18"/>
              </w:rPr>
              <w:t>Transient corticosteroid pulse. Harmless but alarming. Warn all patients beforehand.</w:t>
            </w:r>
          </w:p>
        </w:tc>
      </w:tr>
      <w:tr w:rsidR="00390AE2" w14:paraId="0DFE505F" w14:textId="77777777">
        <w:tblPrEx>
          <w:tblCellMar>
            <w:top w:w="0" w:type="dxa"/>
            <w:bottom w:w="0" w:type="dxa"/>
          </w:tblCellMar>
        </w:tblPrEx>
        <w:tc>
          <w:tcPr>
            <w:tcW w:w="2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BB35F8D" w14:textId="77777777" w:rsidR="00390AE2" w:rsidRDefault="00000000">
            <w:r>
              <w:rPr>
                <w:sz w:val="18"/>
                <w:szCs w:val="18"/>
              </w:rPr>
              <w:t>Blood glucose elevation</w:t>
            </w:r>
          </w:p>
        </w:tc>
        <w:tc>
          <w:tcPr>
            <w:tcW w:w="71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B65731F" w14:textId="77777777" w:rsidR="00390AE2" w:rsidRDefault="00000000">
            <w:r>
              <w:rPr>
                <w:sz w:val="18"/>
                <w:szCs w:val="18"/>
              </w:rPr>
              <w:t>Particularly significant in diabetes. Can persist 5–21 days with peritendinous injections. Advise glucose monitoring for at least one week.</w:t>
            </w:r>
          </w:p>
        </w:tc>
      </w:tr>
      <w:tr w:rsidR="00390AE2" w14:paraId="062DD60A" w14:textId="77777777">
        <w:tblPrEx>
          <w:tblCellMar>
            <w:top w:w="0" w:type="dxa"/>
            <w:bottom w:w="0" w:type="dxa"/>
          </w:tblCellMar>
        </w:tblPrEx>
        <w:tc>
          <w:tcPr>
            <w:tcW w:w="26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05DF366" w14:textId="77777777" w:rsidR="00390AE2" w:rsidRDefault="00000000">
            <w:r>
              <w:rPr>
                <w:sz w:val="18"/>
                <w:szCs w:val="18"/>
              </w:rPr>
              <w:t>Skin atrophy / hypopigmentation</w:t>
            </w:r>
          </w:p>
        </w:tc>
        <w:tc>
          <w:tcPr>
            <w:tcW w:w="71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5F4F744F" w14:textId="77777777" w:rsidR="00390AE2" w:rsidRDefault="00000000">
            <w:r>
              <w:rPr>
                <w:sz w:val="18"/>
                <w:szCs w:val="18"/>
              </w:rPr>
              <w:t>Especially with superficial injections and triamcinolone. More common in elderly patients and in people with darker skin tones — can be disfiguring. Resolves over months to 2 years.</w:t>
            </w:r>
          </w:p>
        </w:tc>
      </w:tr>
      <w:tr w:rsidR="00390AE2" w14:paraId="2AD2765A" w14:textId="77777777">
        <w:tblPrEx>
          <w:tblCellMar>
            <w:top w:w="0" w:type="dxa"/>
            <w:bottom w:w="0" w:type="dxa"/>
          </w:tblCellMar>
        </w:tblPrEx>
        <w:tc>
          <w:tcPr>
            <w:tcW w:w="2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7790138" w14:textId="77777777" w:rsidR="00390AE2" w:rsidRDefault="00000000">
            <w:r>
              <w:rPr>
                <w:sz w:val="18"/>
                <w:szCs w:val="18"/>
              </w:rPr>
              <w:t>Tendon rupture</w:t>
            </w:r>
          </w:p>
        </w:tc>
        <w:tc>
          <w:tcPr>
            <w:tcW w:w="71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8309509" w14:textId="77777777" w:rsidR="00390AE2" w:rsidRDefault="00000000">
            <w:r>
              <w:rPr>
                <w:sz w:val="18"/>
                <w:szCs w:val="18"/>
              </w:rPr>
              <w:t xml:space="preserve">Results from </w:t>
            </w:r>
            <w:proofErr w:type="spellStart"/>
            <w:r>
              <w:rPr>
                <w:sz w:val="18"/>
                <w:szCs w:val="18"/>
              </w:rPr>
              <w:t>intratendinous</w:t>
            </w:r>
            <w:proofErr w:type="spellEnd"/>
            <w:r>
              <w:rPr>
                <w:sz w:val="18"/>
                <w:szCs w:val="18"/>
              </w:rPr>
              <w:t xml:space="preserve"> injection. You must NOT inject into tendon tissue. Never inject against resistance. Athletes with multiple Achilles infiltrations are at high risk.</w:t>
            </w:r>
          </w:p>
        </w:tc>
      </w:tr>
      <w:tr w:rsidR="00390AE2" w14:paraId="044DECD1" w14:textId="77777777">
        <w:tblPrEx>
          <w:tblCellMar>
            <w:top w:w="0" w:type="dxa"/>
            <w:bottom w:w="0" w:type="dxa"/>
          </w:tblCellMar>
        </w:tblPrEx>
        <w:tc>
          <w:tcPr>
            <w:tcW w:w="26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67132CBD" w14:textId="77777777" w:rsidR="00390AE2" w:rsidRDefault="00000000">
            <w:r>
              <w:rPr>
                <w:sz w:val="18"/>
                <w:szCs w:val="18"/>
              </w:rPr>
              <w:t>Infection (1 in 15,000–50,000)</w:t>
            </w:r>
          </w:p>
        </w:tc>
        <w:tc>
          <w:tcPr>
            <w:tcW w:w="71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65A84AE4" w14:textId="77777777" w:rsidR="00390AE2" w:rsidRDefault="00000000">
            <w:r>
              <w:rPr>
                <w:sz w:val="18"/>
                <w:szCs w:val="18"/>
              </w:rPr>
              <w:t>Extremely rare but potentially catastrophic. Strict aseptic technique is mandatory. Higher risk in immunocompromised patients.</w:t>
            </w:r>
          </w:p>
        </w:tc>
      </w:tr>
      <w:tr w:rsidR="00390AE2" w14:paraId="794B0590" w14:textId="77777777">
        <w:tblPrEx>
          <w:tblCellMar>
            <w:top w:w="0" w:type="dxa"/>
            <w:bottom w:w="0" w:type="dxa"/>
          </w:tblCellMar>
        </w:tblPrEx>
        <w:tc>
          <w:tcPr>
            <w:tcW w:w="2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C82B530" w14:textId="77777777" w:rsidR="00390AE2" w:rsidRDefault="00000000">
            <w:r>
              <w:rPr>
                <w:sz w:val="18"/>
                <w:szCs w:val="18"/>
              </w:rPr>
              <w:t>Corticosteroid arthropathy</w:t>
            </w:r>
          </w:p>
        </w:tc>
        <w:tc>
          <w:tcPr>
            <w:tcW w:w="71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D6DD32B" w14:textId="77777777" w:rsidR="00390AE2" w:rsidRDefault="00000000">
            <w:r>
              <w:rPr>
                <w:sz w:val="18"/>
                <w:szCs w:val="18"/>
              </w:rPr>
              <w:t>Repeated intra-articular injections can cause Charcot-like destructive arthropathy. Limit to 3–4 per year. Never inject without reassessment.</w:t>
            </w:r>
          </w:p>
        </w:tc>
      </w:tr>
      <w:tr w:rsidR="00390AE2" w14:paraId="46E5BF43" w14:textId="77777777">
        <w:tblPrEx>
          <w:tblCellMar>
            <w:top w:w="0" w:type="dxa"/>
            <w:bottom w:w="0" w:type="dxa"/>
          </w:tblCellMar>
        </w:tblPrEx>
        <w:tc>
          <w:tcPr>
            <w:tcW w:w="26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E2169B6" w14:textId="77777777" w:rsidR="00390AE2" w:rsidRDefault="00000000">
            <w:r>
              <w:rPr>
                <w:sz w:val="18"/>
                <w:szCs w:val="18"/>
              </w:rPr>
              <w:t>Adrenal suppression</w:t>
            </w:r>
          </w:p>
        </w:tc>
        <w:tc>
          <w:tcPr>
            <w:tcW w:w="71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2E14374" w14:textId="77777777" w:rsidR="00390AE2" w:rsidRDefault="00000000">
            <w:r>
              <w:rPr>
                <w:sz w:val="18"/>
                <w:szCs w:val="18"/>
              </w:rPr>
              <w:t>Serial infiltrations can cause transient HPA axis suppression. Relevant in patients on systemic steroids.</w:t>
            </w:r>
          </w:p>
        </w:tc>
      </w:tr>
    </w:tbl>
    <w:p w14:paraId="2FF71FF9" w14:textId="23782DF1" w:rsidR="00014114" w:rsidRDefault="00014114">
      <w:pPr>
        <w:spacing w:before="60"/>
      </w:pPr>
    </w:p>
    <w:p w14:paraId="54873E08" w14:textId="77777777" w:rsidR="00014114" w:rsidRDefault="00014114">
      <w:r>
        <w:br w:type="page"/>
      </w:r>
    </w:p>
    <w:p w14:paraId="60E3EFEC"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7CB47B0C"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7B86C806" w14:textId="77777777" w:rsidR="00390AE2" w:rsidRDefault="00000000">
            <w:r>
              <w:rPr>
                <w:b/>
                <w:bCs/>
                <w:color w:val="FFFFFF"/>
                <w:sz w:val="32"/>
                <w:szCs w:val="32"/>
              </w:rPr>
              <w:t>The Wrist &amp; Hand</w:t>
            </w:r>
          </w:p>
        </w:tc>
      </w:tr>
    </w:tbl>
    <w:p w14:paraId="32E178B7" w14:textId="77777777" w:rsidR="00390AE2" w:rsidRDefault="00390AE2">
      <w:pPr>
        <w:spacing w:before="40"/>
      </w:pPr>
    </w:p>
    <w:p w14:paraId="0EE0D9FA" w14:textId="77777777" w:rsidR="00390AE2" w:rsidRDefault="00000000">
      <w:pPr>
        <w:pBdr>
          <w:bottom w:val="single" w:sz="6" w:space="3" w:color="0B8A8A"/>
        </w:pBdr>
        <w:spacing w:before="240" w:after="80"/>
      </w:pPr>
      <w:r>
        <w:rPr>
          <w:b/>
          <w:bCs/>
          <w:color w:val="1B3A52"/>
          <w:sz w:val="23"/>
          <w:szCs w:val="23"/>
        </w:rPr>
        <w:t>Finger &amp; Metacarpophalangeal (MCP) Joints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248D777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31708F6"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05BFA79A" w14:textId="77777777" w:rsidR="00390AE2" w:rsidRDefault="00000000">
            <w:r>
              <w:rPr>
                <w:sz w:val="19"/>
                <w:szCs w:val="19"/>
              </w:rPr>
              <w:t>Rheumatoid arthritis, psoriatic arthritis, active Bouchard's nodes.</w:t>
            </w:r>
          </w:p>
        </w:tc>
      </w:tr>
      <w:tr w:rsidR="00390AE2" w14:paraId="4A51D54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22C023D"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D5ED658" w14:textId="77777777" w:rsidR="00390AE2" w:rsidRDefault="00000000">
            <w:r>
              <w:rPr>
                <w:sz w:val="19"/>
                <w:szCs w:val="19"/>
              </w:rPr>
              <w:t>25–27 gauge</w:t>
            </w:r>
          </w:p>
        </w:tc>
      </w:tr>
      <w:tr w:rsidR="00390AE2" w14:paraId="63253F2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0708A98"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3881B5B9" w14:textId="77777777" w:rsidR="00390AE2" w:rsidRDefault="00000000">
            <w:r>
              <w:rPr>
                <w:sz w:val="19"/>
                <w:szCs w:val="19"/>
              </w:rPr>
              <w:t>10–15 mg methylprednisolone acetate</w:t>
            </w:r>
          </w:p>
        </w:tc>
      </w:tr>
      <w:tr w:rsidR="00390AE2" w14:paraId="2D49D74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6F4261D"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F66FECC" w14:textId="77777777" w:rsidR="00390AE2" w:rsidRDefault="00000000">
            <w:r>
              <w:rPr>
                <w:sz w:val="19"/>
                <w:szCs w:val="19"/>
              </w:rPr>
              <w:t>Dorsolateral, digit in semiflexion. Enter from the dorsolateral aspect. Produces circumferential distension. Multiple joints may be injected per session.</w:t>
            </w:r>
          </w:p>
        </w:tc>
      </w:tr>
      <w:tr w:rsidR="00390AE2" w14:paraId="33A6FC3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4D408A0"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55B8916" w14:textId="77777777" w:rsidR="00390AE2" w:rsidRDefault="00000000">
            <w:r>
              <w:rPr>
                <w:sz w:val="19"/>
                <w:szCs w:val="19"/>
              </w:rPr>
              <w:t xml:space="preserve">Do not </w:t>
            </w:r>
            <w:proofErr w:type="spellStart"/>
            <w:r>
              <w:rPr>
                <w:sz w:val="19"/>
                <w:szCs w:val="19"/>
              </w:rPr>
              <w:t>overdistend</w:t>
            </w:r>
            <w:proofErr w:type="spellEnd"/>
            <w:r>
              <w:rPr>
                <w:sz w:val="19"/>
                <w:szCs w:val="19"/>
              </w:rPr>
              <w:t>. Fluid can back up — apply firm pressure with sterile gauze for 5 minutes post-procedure.</w:t>
            </w:r>
          </w:p>
        </w:tc>
      </w:tr>
      <w:tr w:rsidR="00390AE2" w14:paraId="469DE8CD"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826A10D"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CFD25BE" w14:textId="77777777" w:rsidR="00390AE2" w:rsidRDefault="00000000">
            <w:r>
              <w:rPr>
                <w:sz w:val="19"/>
                <w:szCs w:val="19"/>
              </w:rPr>
              <w:t>Joint hyperlaxity; capsular calcification (frequent but inconsequential).</w:t>
            </w:r>
          </w:p>
        </w:tc>
      </w:tr>
    </w:tbl>
    <w:p w14:paraId="32F8E733" w14:textId="77777777" w:rsidR="00390AE2" w:rsidRDefault="00000000">
      <w:pPr>
        <w:spacing w:before="120" w:after="60"/>
        <w:jc w:val="center"/>
      </w:pPr>
      <w:r>
        <w:rPr>
          <w:noProof/>
        </w:rPr>
        <w:drawing>
          <wp:inline distT="0" distB="0" distL="0" distR="0" wp14:anchorId="786FCD43" wp14:editId="212A3120">
            <wp:extent cx="3462337" cy="3526323"/>
            <wp:effectExtent l="0" t="0" r="5080" b="0"/>
            <wp:docPr id="1" name="fig04_mcp_joint.png" descr="Fig. 4  Injection of the metacarpophalangeal joint" title="Fig. 4  Injection of the metacarpophalangeal j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3476910" cy="3541166"/>
                    </a:xfrm>
                    <a:prstGeom prst="rect">
                      <a:avLst/>
                    </a:prstGeom>
                  </pic:spPr>
                </pic:pic>
              </a:graphicData>
            </a:graphic>
          </wp:inline>
        </w:drawing>
      </w:r>
    </w:p>
    <w:p w14:paraId="11CA6A7E"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4  Injection</w:t>
      </w:r>
      <w:proofErr w:type="gramEnd"/>
      <w:r>
        <w:rPr>
          <w:i/>
          <w:iCs/>
          <w:color w:val="6B7280"/>
          <w:sz w:val="18"/>
          <w:szCs w:val="18"/>
        </w:rPr>
        <w:t xml:space="preserve"> of the metacarpophalangeal joint</w:t>
      </w:r>
    </w:p>
    <w:p w14:paraId="1D642AE2"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2525C4FA"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26CDE20A" w14:textId="77777777" w:rsidR="00390AE2" w:rsidRDefault="00000000">
            <w:pPr>
              <w:spacing w:after="80"/>
            </w:pPr>
            <w:r>
              <w:rPr>
                <w:b/>
                <w:bCs/>
                <w:color w:val="166534"/>
                <w:sz w:val="18"/>
                <w:szCs w:val="18"/>
              </w:rPr>
              <w:t>CLINICAL NOTE</w:t>
            </w:r>
          </w:p>
          <w:p w14:paraId="43656D7A" w14:textId="77777777" w:rsidR="00390AE2" w:rsidRDefault="00000000">
            <w:pPr>
              <w:spacing w:after="50"/>
            </w:pPr>
            <w:r>
              <w:rPr>
                <w:color w:val="166534"/>
                <w:sz w:val="19"/>
                <w:szCs w:val="19"/>
              </w:rPr>
              <w:t>In RA, multiple joints may be injected in the same session. Use the minimum effective dose per joint.</w:t>
            </w:r>
          </w:p>
        </w:tc>
      </w:tr>
    </w:tbl>
    <w:p w14:paraId="350274A0" w14:textId="77777777" w:rsidR="00390AE2" w:rsidRDefault="00390AE2">
      <w:pPr>
        <w:spacing w:before="60"/>
      </w:pPr>
    </w:p>
    <w:p w14:paraId="48B011D3" w14:textId="77777777" w:rsidR="00014114" w:rsidRDefault="00014114">
      <w:pPr>
        <w:rPr>
          <w:b/>
          <w:bCs/>
          <w:color w:val="1B3A52"/>
          <w:sz w:val="23"/>
          <w:szCs w:val="23"/>
        </w:rPr>
      </w:pPr>
      <w:r>
        <w:rPr>
          <w:b/>
          <w:bCs/>
          <w:color w:val="1B3A52"/>
          <w:sz w:val="23"/>
          <w:szCs w:val="23"/>
        </w:rPr>
        <w:br w:type="page"/>
      </w:r>
    </w:p>
    <w:p w14:paraId="3A40F4BE" w14:textId="6AAB4CD9" w:rsidR="00390AE2" w:rsidRDefault="00000000">
      <w:pPr>
        <w:pBdr>
          <w:bottom w:val="single" w:sz="6" w:space="3" w:color="0B8A8A"/>
        </w:pBdr>
        <w:spacing w:before="240" w:after="80"/>
      </w:pPr>
      <w:r>
        <w:rPr>
          <w:b/>
          <w:bCs/>
          <w:color w:val="1B3A52"/>
          <w:sz w:val="23"/>
          <w:szCs w:val="23"/>
        </w:rPr>
        <w:lastRenderedPageBreak/>
        <w:t>Proximal Interphalangeal (PIP) Joints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21EE92B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8F9F5F6"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85DCF82" w14:textId="77777777" w:rsidR="00390AE2" w:rsidRDefault="00000000">
            <w:r>
              <w:rPr>
                <w:sz w:val="19"/>
                <w:szCs w:val="19"/>
              </w:rPr>
              <w:t>Rheumatoid arthritis, psoriatic arthritis, active Bouchard's nodes.</w:t>
            </w:r>
          </w:p>
        </w:tc>
      </w:tr>
      <w:tr w:rsidR="00390AE2" w14:paraId="207AA8B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87EF37B"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94FABB3" w14:textId="77777777" w:rsidR="00390AE2" w:rsidRDefault="00000000">
            <w:r>
              <w:rPr>
                <w:sz w:val="19"/>
                <w:szCs w:val="19"/>
              </w:rPr>
              <w:t>25–27 gauge</w:t>
            </w:r>
          </w:p>
        </w:tc>
      </w:tr>
      <w:tr w:rsidR="00390AE2" w14:paraId="4D03B7D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CA7B1FA"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8638575" w14:textId="77777777" w:rsidR="00390AE2" w:rsidRDefault="00000000">
            <w:r>
              <w:rPr>
                <w:sz w:val="19"/>
                <w:szCs w:val="19"/>
              </w:rPr>
              <w:t>10–15 mg methylprednisolone acetate</w:t>
            </w:r>
          </w:p>
        </w:tc>
      </w:tr>
      <w:tr w:rsidR="00390AE2" w14:paraId="72C7487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2B080E2"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84D2668" w14:textId="77777777" w:rsidR="00390AE2" w:rsidRDefault="00000000">
            <w:r>
              <w:rPr>
                <w:sz w:val="19"/>
                <w:szCs w:val="19"/>
              </w:rPr>
              <w:t>Dorsolateral, digit in semiflexion. Enter between the collateral ligament and extensor hood.</w:t>
            </w:r>
          </w:p>
        </w:tc>
      </w:tr>
      <w:tr w:rsidR="00390AE2" w14:paraId="587EF4F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2349BAE"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7454BF0" w14:textId="77777777" w:rsidR="00390AE2" w:rsidRDefault="00000000">
            <w:r>
              <w:rPr>
                <w:sz w:val="19"/>
                <w:szCs w:val="19"/>
              </w:rPr>
              <w:t>Use minimal volume. Apply post-procedure compression for 5 minutes.</w:t>
            </w:r>
          </w:p>
        </w:tc>
      </w:tr>
      <w:tr w:rsidR="00390AE2" w14:paraId="3855EA8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988FCE7"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75AFAD7" w14:textId="77777777" w:rsidR="00390AE2" w:rsidRDefault="00000000">
            <w:r>
              <w:rPr>
                <w:sz w:val="19"/>
                <w:szCs w:val="19"/>
              </w:rPr>
              <w:t>As for MCP joints.</w:t>
            </w:r>
          </w:p>
        </w:tc>
      </w:tr>
    </w:tbl>
    <w:p w14:paraId="53138134" w14:textId="77777777" w:rsidR="00390AE2" w:rsidRDefault="00000000">
      <w:pPr>
        <w:spacing w:before="120" w:after="60"/>
        <w:jc w:val="center"/>
      </w:pPr>
      <w:r>
        <w:rPr>
          <w:noProof/>
        </w:rPr>
        <w:drawing>
          <wp:inline distT="0" distB="0" distL="0" distR="0" wp14:anchorId="67D30335" wp14:editId="7F941E4C">
            <wp:extent cx="3800475" cy="2746955"/>
            <wp:effectExtent l="0" t="0" r="0" b="0"/>
            <wp:docPr id="250211423" name="fig05_interphalangeal.png" descr="Fig. 5  Injection of the proximal interphalangeal joint" title="Fig. 5  Injection of the proximal interphalangeal j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3807067" cy="2751720"/>
                    </a:xfrm>
                    <a:prstGeom prst="rect">
                      <a:avLst/>
                    </a:prstGeom>
                  </pic:spPr>
                </pic:pic>
              </a:graphicData>
            </a:graphic>
          </wp:inline>
        </w:drawing>
      </w:r>
    </w:p>
    <w:p w14:paraId="2E509643"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5  Injection</w:t>
      </w:r>
      <w:proofErr w:type="gramEnd"/>
      <w:r>
        <w:rPr>
          <w:i/>
          <w:iCs/>
          <w:color w:val="6B7280"/>
          <w:sz w:val="18"/>
          <w:szCs w:val="18"/>
        </w:rPr>
        <w:t xml:space="preserve"> of the proximal interphalangeal joint</w:t>
      </w:r>
    </w:p>
    <w:p w14:paraId="64A1512B" w14:textId="77777777" w:rsidR="00390AE2" w:rsidRDefault="00390AE2">
      <w:pPr>
        <w:spacing w:before="60"/>
      </w:pPr>
    </w:p>
    <w:p w14:paraId="1BB3CDBE" w14:textId="77777777" w:rsidR="00390AE2" w:rsidRDefault="00000000">
      <w:pPr>
        <w:pBdr>
          <w:bottom w:val="single" w:sz="6" w:space="3" w:color="0B8A8A"/>
        </w:pBdr>
        <w:spacing w:before="240" w:after="80"/>
      </w:pPr>
      <w:r>
        <w:rPr>
          <w:b/>
          <w:bCs/>
          <w:color w:val="1B3A52"/>
          <w:sz w:val="23"/>
          <w:szCs w:val="23"/>
        </w:rPr>
        <w:t>Flexor Tendon Sheaths (Trigger Finger)</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02B6FF7F"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BE8B3CF"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0946F879" w14:textId="77777777" w:rsidR="00390AE2" w:rsidRDefault="00000000">
            <w:r>
              <w:rPr>
                <w:sz w:val="19"/>
                <w:szCs w:val="19"/>
              </w:rPr>
              <w:t>Trigger finger (stenosing flexor tenosynovitis); flexor tenosynovitis in RA or psoriatic arthritis.</w:t>
            </w:r>
          </w:p>
        </w:tc>
      </w:tr>
      <w:tr w:rsidR="00390AE2" w14:paraId="4E932EA3"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1744DD4"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5DA9BAE" w14:textId="77777777" w:rsidR="00390AE2" w:rsidRDefault="00000000">
            <w:r>
              <w:rPr>
                <w:sz w:val="19"/>
                <w:szCs w:val="19"/>
              </w:rPr>
              <w:t xml:space="preserve">25–27 gauge or </w:t>
            </w:r>
            <w:proofErr w:type="gramStart"/>
            <w:r>
              <w:rPr>
                <w:sz w:val="19"/>
                <w:szCs w:val="19"/>
              </w:rPr>
              <w:t>23 gauge</w:t>
            </w:r>
            <w:proofErr w:type="gramEnd"/>
            <w:r>
              <w:rPr>
                <w:sz w:val="19"/>
                <w:szCs w:val="19"/>
              </w:rPr>
              <w:t xml:space="preserve"> butterfly</w:t>
            </w:r>
          </w:p>
        </w:tc>
      </w:tr>
      <w:tr w:rsidR="00390AE2" w14:paraId="32527BB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F71078A"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2E3B41A7" w14:textId="77777777" w:rsidR="00390AE2" w:rsidRDefault="00000000">
            <w:r>
              <w:rPr>
                <w:sz w:val="19"/>
                <w:szCs w:val="19"/>
              </w:rPr>
              <w:t>15–20 mg methylprednisolone + 1–2 ml 1% lidocaine</w:t>
            </w:r>
          </w:p>
        </w:tc>
      </w:tr>
      <w:tr w:rsidR="00390AE2" w14:paraId="7ED5BA4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160B901"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6A62492" w14:textId="77777777" w:rsidR="00390AE2" w:rsidRDefault="00000000">
            <w:r>
              <w:rPr>
                <w:sz w:val="19"/>
                <w:szCs w:val="19"/>
              </w:rPr>
              <w:t>Palmar approach. Entry: just distal to palmar crease (thumb); proximal palmar crease (index); distal palmar crease (long, ring, little fingers). Needle at 45° distal inclination.</w:t>
            </w:r>
          </w:p>
        </w:tc>
      </w:tr>
      <w:tr w:rsidR="00390AE2" w14:paraId="5E75C61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857E2F9" w14:textId="77777777" w:rsidR="00390AE2" w:rsidRDefault="00000000">
            <w:r>
              <w:rPr>
                <w:b/>
                <w:bCs/>
                <w:color w:val="1B3A52"/>
                <w:sz w:val="19"/>
                <w:szCs w:val="19"/>
              </w:rPr>
              <w:t>Confirming placement</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0EAB58AE" w14:textId="77777777" w:rsidR="00390AE2" w:rsidRDefault="00000000">
            <w:r>
              <w:rPr>
                <w:sz w:val="19"/>
                <w:szCs w:val="19"/>
              </w:rPr>
              <w:t>Reciprocal needle movement on passive finger flexion = tendon engagement. Withdraw 1 mm and recheck. Easy flow = correct sheath placement.</w:t>
            </w:r>
          </w:p>
        </w:tc>
      </w:tr>
      <w:tr w:rsidR="00390AE2" w14:paraId="5D06791C"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73DCACE"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89A283D" w14:textId="77777777" w:rsidR="00390AE2" w:rsidRDefault="00000000">
            <w:r>
              <w:rPr>
                <w:sz w:val="19"/>
                <w:szCs w:val="19"/>
              </w:rPr>
              <w:t>You must NOT inject into the tendon. If resistance is felt, reposition.</w:t>
            </w:r>
          </w:p>
        </w:tc>
      </w:tr>
      <w:tr w:rsidR="00390AE2" w14:paraId="7AB7F6B9"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C6115EA" w14:textId="77777777" w:rsidR="00390AE2" w:rsidRDefault="00000000">
            <w:r>
              <w:rPr>
                <w:b/>
                <w:bCs/>
                <w:color w:val="1B3A52"/>
                <w:sz w:val="19"/>
                <w:szCs w:val="19"/>
              </w:rPr>
              <w:t>Repeat injections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3929DAF" w14:textId="77777777" w:rsidR="00390AE2" w:rsidRDefault="00000000">
            <w:r>
              <w:rPr>
                <w:sz w:val="19"/>
                <w:szCs w:val="19"/>
              </w:rPr>
              <w:t>Up to 3 injections, at least 3 weeks apart.</w:t>
            </w:r>
          </w:p>
        </w:tc>
      </w:tr>
      <w:tr w:rsidR="00390AE2" w14:paraId="7A67E39F"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E81013A"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6190F2C" w14:textId="77777777" w:rsidR="00390AE2" w:rsidRDefault="00000000">
            <w:r>
              <w:rPr>
                <w:sz w:val="19"/>
                <w:szCs w:val="19"/>
              </w:rPr>
              <w:t>Superficial fat atrophy (asymptomatic). Tendon rupture and infection are rare with correct technique.</w:t>
            </w:r>
          </w:p>
        </w:tc>
      </w:tr>
    </w:tbl>
    <w:p w14:paraId="7E944664" w14:textId="77777777" w:rsidR="00390AE2" w:rsidRDefault="00000000">
      <w:pPr>
        <w:spacing w:before="120" w:after="60"/>
        <w:jc w:val="center"/>
      </w:pPr>
      <w:r>
        <w:rPr>
          <w:noProof/>
        </w:rPr>
        <w:lastRenderedPageBreak/>
        <w:drawing>
          <wp:inline distT="0" distB="0" distL="0" distR="0" wp14:anchorId="17674D8F" wp14:editId="51DF46FC">
            <wp:extent cx="3338512" cy="4154288"/>
            <wp:effectExtent l="0" t="0" r="0" b="0"/>
            <wp:docPr id="886908841" name="fig06_trigger_finger.png" descr="Fig. 6  Injection of the flexor digital tendon sheath — trigger finger" title="Fig. 6  Injection of the flexor digital tendon sheath — trigger fi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3343243" cy="4160176"/>
                    </a:xfrm>
                    <a:prstGeom prst="rect">
                      <a:avLst/>
                    </a:prstGeom>
                  </pic:spPr>
                </pic:pic>
              </a:graphicData>
            </a:graphic>
          </wp:inline>
        </w:drawing>
      </w:r>
    </w:p>
    <w:p w14:paraId="195D5F72"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6  Injection</w:t>
      </w:r>
      <w:proofErr w:type="gramEnd"/>
      <w:r>
        <w:rPr>
          <w:i/>
          <w:iCs/>
          <w:color w:val="6B7280"/>
          <w:sz w:val="18"/>
          <w:szCs w:val="18"/>
        </w:rPr>
        <w:t xml:space="preserve"> of the flexor digital tendon sheath — trigger finger</w:t>
      </w:r>
    </w:p>
    <w:p w14:paraId="2E23484B"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6EC4CD51"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1A9941B6" w14:textId="77777777" w:rsidR="00390AE2" w:rsidRDefault="00000000">
            <w:pPr>
              <w:spacing w:after="80"/>
            </w:pPr>
            <w:r>
              <w:rPr>
                <w:b/>
                <w:bCs/>
                <w:color w:val="166534"/>
                <w:sz w:val="18"/>
                <w:szCs w:val="18"/>
              </w:rPr>
              <w:t>CLINICAL NOTE</w:t>
            </w:r>
          </w:p>
          <w:p w14:paraId="047A9C24" w14:textId="77777777" w:rsidR="00390AE2" w:rsidRDefault="00000000">
            <w:pPr>
              <w:spacing w:after="50"/>
            </w:pPr>
            <w:r>
              <w:rPr>
                <w:color w:val="166534"/>
                <w:sz w:val="19"/>
                <w:szCs w:val="19"/>
              </w:rPr>
              <w:t>Refer for surgical release (A1 pulley division) if symptoms recur after 2–3 injections, or if there is a fixed flexion deformity.</w:t>
            </w:r>
          </w:p>
        </w:tc>
      </w:tr>
    </w:tbl>
    <w:p w14:paraId="0F059E21" w14:textId="77777777" w:rsidR="00390AE2" w:rsidRDefault="00390AE2">
      <w:pPr>
        <w:spacing w:before="60"/>
      </w:pPr>
    </w:p>
    <w:p w14:paraId="65901BA6" w14:textId="77777777" w:rsidR="00390AE2" w:rsidRDefault="00000000">
      <w:pPr>
        <w:pBdr>
          <w:bottom w:val="single" w:sz="6" w:space="3" w:color="0B8A8A"/>
        </w:pBdr>
        <w:spacing w:before="240" w:after="80"/>
      </w:pPr>
      <w:r>
        <w:rPr>
          <w:b/>
          <w:bCs/>
          <w:color w:val="1B3A52"/>
          <w:sz w:val="23"/>
          <w:szCs w:val="23"/>
        </w:rPr>
        <w:t xml:space="preserve">De </w:t>
      </w:r>
      <w:proofErr w:type="spellStart"/>
      <w:r>
        <w:rPr>
          <w:b/>
          <w:bCs/>
          <w:color w:val="1B3A52"/>
          <w:sz w:val="23"/>
          <w:szCs w:val="23"/>
        </w:rPr>
        <w:t>Quervain's</w:t>
      </w:r>
      <w:proofErr w:type="spellEnd"/>
      <w:r>
        <w:rPr>
          <w:b/>
          <w:bCs/>
          <w:color w:val="1B3A52"/>
          <w:sz w:val="23"/>
          <w:szCs w:val="23"/>
        </w:rPr>
        <w:t xml:space="preserve"> Tenosynovitis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2A6B18B9"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48189F7"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896C0B1" w14:textId="77777777" w:rsidR="00390AE2" w:rsidRDefault="00000000">
            <w:r>
              <w:rPr>
                <w:sz w:val="19"/>
                <w:szCs w:val="19"/>
              </w:rPr>
              <w:t>Inflammation of the common sheath of APL and EPB. Highly responsive to corticosteroid injection (~80% success rate).</w:t>
            </w:r>
          </w:p>
        </w:tc>
      </w:tr>
      <w:tr w:rsidR="00390AE2" w14:paraId="4289F83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9A0438D"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44C69F7" w14:textId="77777777" w:rsidR="00390AE2" w:rsidRDefault="00000000">
            <w:r>
              <w:rPr>
                <w:sz w:val="19"/>
                <w:szCs w:val="19"/>
              </w:rPr>
              <w:t>25 gauge</w:t>
            </w:r>
          </w:p>
        </w:tc>
      </w:tr>
      <w:tr w:rsidR="00390AE2" w14:paraId="24141C79"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204BE8F"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B0F4698" w14:textId="77777777" w:rsidR="00390AE2" w:rsidRDefault="00000000">
            <w:r>
              <w:rPr>
                <w:sz w:val="19"/>
                <w:szCs w:val="19"/>
              </w:rPr>
              <w:t>20–30 mg methylprednisolone acetate (NOT triamcinolone — risk of skin atrophy at this superficial site)</w:t>
            </w:r>
          </w:p>
        </w:tc>
      </w:tr>
      <w:tr w:rsidR="00390AE2" w14:paraId="220E533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2950CF9"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B1F7D15" w14:textId="77777777" w:rsidR="00390AE2" w:rsidRDefault="00000000">
            <w:r>
              <w:rPr>
                <w:sz w:val="19"/>
                <w:szCs w:val="19"/>
              </w:rPr>
              <w:t>Aim towards the radial styloid (deep to the sheath). Insert into the sheath, withdraw 1 mm, inject. Successful injection distends the sheath distally to the metacarpal base.</w:t>
            </w:r>
          </w:p>
        </w:tc>
      </w:tr>
      <w:tr w:rsidR="00390AE2" w14:paraId="54520C5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A9A39FF"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29AFB225" w14:textId="77777777" w:rsidR="00390AE2" w:rsidRDefault="00000000">
            <w:r>
              <w:rPr>
                <w:sz w:val="19"/>
                <w:szCs w:val="19"/>
              </w:rPr>
              <w:t>Inject within the sheath only. Do not infiltrate a grossly thickened sheath without considering mycobacterial infection.</w:t>
            </w:r>
          </w:p>
        </w:tc>
      </w:tr>
      <w:tr w:rsidR="00390AE2" w14:paraId="0F6F901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AB0F3DF"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18892AC" w14:textId="77777777" w:rsidR="00390AE2" w:rsidRDefault="00000000">
            <w:r>
              <w:rPr>
                <w:sz w:val="19"/>
                <w:szCs w:val="19"/>
              </w:rPr>
              <w:t>Skin hypopigmentation is common — especially in darker skin tones. Warn patients beforehand. Skin atrophy (particularly in elderly patients).</w:t>
            </w:r>
          </w:p>
        </w:tc>
      </w:tr>
    </w:tbl>
    <w:p w14:paraId="45F7F117"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53FF4E4F" w14:textId="77777777">
        <w:tblPrEx>
          <w:tblCellMar>
            <w:top w:w="0" w:type="dxa"/>
            <w:bottom w:w="0" w:type="dxa"/>
          </w:tblCellMar>
        </w:tblPrEx>
        <w:tc>
          <w:tcPr>
            <w:tcW w:w="9746" w:type="dxa"/>
            <w:tcBorders>
              <w:top w:val="single" w:sz="12" w:space="0" w:color="B45309"/>
              <w:left w:val="single" w:sz="28" w:space="0" w:color="B45309"/>
              <w:bottom w:val="single" w:sz="12" w:space="0" w:color="B45309"/>
              <w:right w:val="single" w:sz="12" w:space="0" w:color="B45309"/>
            </w:tcBorders>
            <w:shd w:val="clear" w:color="auto" w:fill="FFF3CD"/>
            <w:tcMar>
              <w:top w:w="140" w:type="dxa"/>
              <w:left w:w="220" w:type="dxa"/>
              <w:bottom w:w="140" w:type="dxa"/>
              <w:right w:w="220" w:type="dxa"/>
            </w:tcMar>
          </w:tcPr>
          <w:p w14:paraId="53E8C94F" w14:textId="77777777" w:rsidR="00390AE2" w:rsidRDefault="00000000">
            <w:pPr>
              <w:spacing w:after="80"/>
            </w:pPr>
            <w:proofErr w:type="gramStart"/>
            <w:r>
              <w:rPr>
                <w:b/>
                <w:bCs/>
                <w:color w:val="B45309"/>
                <w:sz w:val="18"/>
                <w:szCs w:val="18"/>
              </w:rPr>
              <w:t>⚠  CAUTION</w:t>
            </w:r>
            <w:proofErr w:type="gramEnd"/>
          </w:p>
          <w:p w14:paraId="247FC041" w14:textId="77777777" w:rsidR="00390AE2" w:rsidRDefault="00000000">
            <w:pPr>
              <w:spacing w:after="50"/>
            </w:pPr>
            <w:r>
              <w:rPr>
                <w:color w:val="B45309"/>
                <w:sz w:val="19"/>
                <w:szCs w:val="19"/>
              </w:rPr>
              <w:t>~80% injection response rate. Refer to hand surgery if symptoms persist after 2 injections.</w:t>
            </w:r>
          </w:p>
        </w:tc>
      </w:tr>
    </w:tbl>
    <w:p w14:paraId="046C1E98" w14:textId="77777777" w:rsidR="00390AE2" w:rsidRDefault="00390AE2">
      <w:pPr>
        <w:spacing w:before="60"/>
      </w:pPr>
    </w:p>
    <w:p w14:paraId="42DE644B" w14:textId="77777777" w:rsidR="00390AE2" w:rsidRDefault="00000000">
      <w:pPr>
        <w:pBdr>
          <w:bottom w:val="single" w:sz="6" w:space="3" w:color="0B8A8A"/>
        </w:pBdr>
        <w:spacing w:before="240" w:after="80"/>
      </w:pPr>
      <w:r>
        <w:rPr>
          <w:b/>
          <w:bCs/>
          <w:color w:val="1B3A52"/>
          <w:sz w:val="23"/>
          <w:szCs w:val="23"/>
        </w:rPr>
        <w:lastRenderedPageBreak/>
        <w:t>Carpal Tunnel Syndrome (CTS)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091538D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8BA5820"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FD3BD62" w14:textId="77777777" w:rsidR="00390AE2" w:rsidRDefault="00000000">
            <w:r>
              <w:rPr>
                <w:sz w:val="19"/>
                <w:szCs w:val="19"/>
              </w:rPr>
              <w:t>Mild-to-moderate CTS confirmed clinically. Do not inject if thenar wasting is present or nerve conduction shows axonal loss — refer for surgical assessment.</w:t>
            </w:r>
          </w:p>
        </w:tc>
      </w:tr>
      <w:tr w:rsidR="00390AE2" w14:paraId="0A79210C"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E313FBC"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266BD4E" w14:textId="77777777" w:rsidR="00390AE2" w:rsidRDefault="00000000">
            <w:r>
              <w:rPr>
                <w:sz w:val="19"/>
                <w:szCs w:val="19"/>
              </w:rPr>
              <w:t xml:space="preserve">22–25 gauge or </w:t>
            </w:r>
            <w:proofErr w:type="gramStart"/>
            <w:r>
              <w:rPr>
                <w:sz w:val="19"/>
                <w:szCs w:val="19"/>
              </w:rPr>
              <w:t>23 gauge</w:t>
            </w:r>
            <w:proofErr w:type="gramEnd"/>
            <w:r>
              <w:rPr>
                <w:sz w:val="19"/>
                <w:szCs w:val="19"/>
              </w:rPr>
              <w:t xml:space="preserve"> butterfly</w:t>
            </w:r>
          </w:p>
        </w:tc>
      </w:tr>
      <w:tr w:rsidR="00390AE2" w14:paraId="66799268"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3F57651"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AC8DAAA" w14:textId="77777777" w:rsidR="00390AE2" w:rsidRDefault="00000000">
            <w:r>
              <w:rPr>
                <w:sz w:val="19"/>
                <w:szCs w:val="19"/>
              </w:rPr>
              <w:t>20–40 mg methylprednisolone (without lidocaine preferred for accuracy — or + 1 ml lidocaine)</w:t>
            </w:r>
          </w:p>
        </w:tc>
      </w:tr>
      <w:tr w:rsidR="00390AE2" w14:paraId="4400F243"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0F29A23"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5610224E" w14:textId="77777777" w:rsidR="00390AE2" w:rsidRDefault="00000000">
            <w:r>
              <w:rPr>
                <w:sz w:val="19"/>
                <w:szCs w:val="19"/>
              </w:rPr>
              <w:t>Just distal to the distal wrist flexor crease, medial to palmaris longus (PL) tendon. If PL absent (~25% of people), use the midline. Insert to 1 cm depth at 45° distal and 45° lateral inclination.</w:t>
            </w:r>
          </w:p>
        </w:tc>
      </w:tr>
      <w:tr w:rsidR="00390AE2" w14:paraId="7596BEAC"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35ACBB4" w14:textId="77777777" w:rsidR="00390AE2" w:rsidRDefault="00000000">
            <w:r>
              <w:rPr>
                <w:b/>
                <w:bCs/>
                <w:color w:val="1B3A52"/>
                <w:sz w:val="19"/>
                <w:szCs w:val="19"/>
              </w:rPr>
              <w:t>Confirming placement</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7D45B0A6" w14:textId="77777777" w:rsidR="00390AE2" w:rsidRDefault="00000000">
            <w:proofErr w:type="spellStart"/>
            <w:r>
              <w:rPr>
                <w:sz w:val="19"/>
                <w:szCs w:val="19"/>
              </w:rPr>
              <w:t>Paraesthesiae</w:t>
            </w:r>
            <w:proofErr w:type="spellEnd"/>
            <w:r>
              <w:rPr>
                <w:sz w:val="19"/>
                <w:szCs w:val="19"/>
              </w:rPr>
              <w:t xml:space="preserve"> in median nerve distribution = nerve engagement — reposition immediately. Needle movement with passive finger flexion = tendon — withdraw 1 mm.</w:t>
            </w:r>
          </w:p>
        </w:tc>
      </w:tr>
      <w:tr w:rsidR="00390AE2" w14:paraId="458197A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31DBBC1" w14:textId="77777777" w:rsidR="00390AE2" w:rsidRDefault="00000000">
            <w:r>
              <w:rPr>
                <w:b/>
                <w:bCs/>
                <w:color w:val="1B3A52"/>
                <w:sz w:val="19"/>
                <w:szCs w:val="19"/>
              </w:rPr>
              <w:t>Aftercare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6B8AAEA" w14:textId="77777777" w:rsidR="00390AE2" w:rsidRDefault="00000000">
            <w:r>
              <w:rPr>
                <w:sz w:val="19"/>
                <w:szCs w:val="19"/>
              </w:rPr>
              <w:t>Night wrist splint in neutral position reduces carpal tunnel pressure — provide via physiotherapy or OT.</w:t>
            </w:r>
          </w:p>
        </w:tc>
      </w:tr>
      <w:tr w:rsidR="00390AE2" w14:paraId="7E3D7A7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7A3571B"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70516931" w14:textId="77777777" w:rsidR="00390AE2" w:rsidRDefault="00000000">
            <w:r>
              <w:rPr>
                <w:sz w:val="19"/>
                <w:szCs w:val="19"/>
              </w:rPr>
              <w:t xml:space="preserve">Transient worsening of </w:t>
            </w:r>
            <w:proofErr w:type="spellStart"/>
            <w:r>
              <w:rPr>
                <w:sz w:val="19"/>
                <w:szCs w:val="19"/>
              </w:rPr>
              <w:t>paraesthesiae</w:t>
            </w:r>
            <w:proofErr w:type="spellEnd"/>
            <w:r>
              <w:rPr>
                <w:sz w:val="19"/>
                <w:szCs w:val="19"/>
              </w:rPr>
              <w:t>. Median nerve damage from direct injection is rare but serious.</w:t>
            </w:r>
          </w:p>
        </w:tc>
      </w:tr>
    </w:tbl>
    <w:p w14:paraId="178FA583" w14:textId="77777777" w:rsidR="00390AE2" w:rsidRDefault="00000000">
      <w:pPr>
        <w:spacing w:before="120" w:after="60"/>
        <w:jc w:val="center"/>
      </w:pPr>
      <w:r>
        <w:rPr>
          <w:noProof/>
        </w:rPr>
        <w:drawing>
          <wp:inline distT="0" distB="0" distL="0" distR="0" wp14:anchorId="20E73C0B" wp14:editId="556A13E0">
            <wp:extent cx="3157537" cy="4000411"/>
            <wp:effectExtent l="0" t="0" r="5080" b="635"/>
            <wp:docPr id="1521478021" name="fig07_carpal_tunnel.png" descr="Fig. 7  Injection of the carpal tunnel" title="Fig. 7  Injection of the carpal tun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3175517" cy="4023190"/>
                    </a:xfrm>
                    <a:prstGeom prst="rect">
                      <a:avLst/>
                    </a:prstGeom>
                  </pic:spPr>
                </pic:pic>
              </a:graphicData>
            </a:graphic>
          </wp:inline>
        </w:drawing>
      </w:r>
    </w:p>
    <w:p w14:paraId="7CCD3F52"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7  Injection</w:t>
      </w:r>
      <w:proofErr w:type="gramEnd"/>
      <w:r>
        <w:rPr>
          <w:i/>
          <w:iCs/>
          <w:color w:val="6B7280"/>
          <w:sz w:val="18"/>
          <w:szCs w:val="18"/>
        </w:rPr>
        <w:t xml:space="preserve"> of the carpal tunnel</w:t>
      </w:r>
    </w:p>
    <w:p w14:paraId="6903177C"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292FA25E"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36A8E310" w14:textId="77777777" w:rsidR="00390AE2" w:rsidRDefault="00000000">
            <w:pPr>
              <w:spacing w:after="80"/>
            </w:pPr>
            <w:r>
              <w:rPr>
                <w:b/>
                <w:bCs/>
                <w:color w:val="166534"/>
                <w:sz w:val="18"/>
                <w:szCs w:val="18"/>
              </w:rPr>
              <w:t>CLINICAL NOTE</w:t>
            </w:r>
          </w:p>
          <w:p w14:paraId="081BAFB0" w14:textId="77777777" w:rsidR="00390AE2" w:rsidRDefault="00000000">
            <w:pPr>
              <w:spacing w:after="50"/>
            </w:pPr>
            <w:r>
              <w:rPr>
                <w:color w:val="166534"/>
                <w:sz w:val="19"/>
                <w:szCs w:val="19"/>
              </w:rPr>
              <w:t>Refer for carpal tunnel decompression if: symptoms are severe, there is thenar wasting, nerve conduction shows axonal loss, or symptoms recur promptly after 2 injections.</w:t>
            </w:r>
          </w:p>
        </w:tc>
      </w:tr>
    </w:tbl>
    <w:p w14:paraId="2374C92A" w14:textId="77777777" w:rsidR="00390AE2" w:rsidRDefault="00390AE2">
      <w:pPr>
        <w:spacing w:before="60"/>
      </w:pPr>
    </w:p>
    <w:p w14:paraId="6DBEE728" w14:textId="77777777" w:rsidR="00014114" w:rsidRDefault="00014114">
      <w:pPr>
        <w:rPr>
          <w:b/>
          <w:bCs/>
          <w:color w:val="1B3A52"/>
          <w:sz w:val="23"/>
          <w:szCs w:val="23"/>
        </w:rPr>
      </w:pPr>
      <w:r>
        <w:rPr>
          <w:b/>
          <w:bCs/>
          <w:color w:val="1B3A52"/>
          <w:sz w:val="23"/>
          <w:szCs w:val="23"/>
        </w:rPr>
        <w:br w:type="page"/>
      </w:r>
    </w:p>
    <w:p w14:paraId="52562201" w14:textId="61895CED" w:rsidR="00390AE2" w:rsidRDefault="00000000">
      <w:pPr>
        <w:pBdr>
          <w:bottom w:val="single" w:sz="6" w:space="3" w:color="0B8A8A"/>
        </w:pBdr>
        <w:spacing w:before="240" w:after="80"/>
      </w:pPr>
      <w:r>
        <w:rPr>
          <w:b/>
          <w:bCs/>
          <w:color w:val="1B3A52"/>
          <w:sz w:val="23"/>
          <w:szCs w:val="23"/>
        </w:rPr>
        <w:lastRenderedPageBreak/>
        <w:t>First Carpometacarpal (CMC) Joint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3D28C03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D6360B8"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7882634F" w14:textId="77777777" w:rsidR="00390AE2" w:rsidRDefault="00000000">
            <w:r>
              <w:rPr>
                <w:sz w:val="19"/>
                <w:szCs w:val="19"/>
              </w:rPr>
              <w:t>Painful OA at the base of the thumb ("square hand" with grating and tenderness at the prominence).</w:t>
            </w:r>
          </w:p>
        </w:tc>
      </w:tr>
      <w:tr w:rsidR="00390AE2" w14:paraId="16AD640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F61E041"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8E51041" w14:textId="77777777" w:rsidR="00390AE2" w:rsidRDefault="00000000">
            <w:r>
              <w:rPr>
                <w:sz w:val="19"/>
                <w:szCs w:val="19"/>
              </w:rPr>
              <w:t>23–25 gauge</w:t>
            </w:r>
          </w:p>
        </w:tc>
      </w:tr>
      <w:tr w:rsidR="00390AE2" w14:paraId="5D487789"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4E264C4"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C4063FB" w14:textId="77777777" w:rsidR="00390AE2" w:rsidRDefault="00000000">
            <w:r>
              <w:rPr>
                <w:sz w:val="19"/>
                <w:szCs w:val="19"/>
              </w:rPr>
              <w:t>15–30 mg methylprednisolone</w:t>
            </w:r>
          </w:p>
        </w:tc>
      </w:tr>
      <w:tr w:rsidR="00390AE2" w14:paraId="5859DB78"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01EBD6D"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655E5B2" w14:textId="77777777" w:rsidR="00390AE2" w:rsidRDefault="00000000">
            <w:r>
              <w:rPr>
                <w:sz w:val="19"/>
                <w:szCs w:val="19"/>
              </w:rPr>
              <w:t>Within the anatomical snuffbox. Flex the thumb across the palm. Enter between APL/EPB anteriorly and EPL posteriorly.</w:t>
            </w:r>
          </w:p>
        </w:tc>
      </w:tr>
      <w:tr w:rsidR="00390AE2" w14:paraId="0FFA645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A45638A"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2308498D" w14:textId="77777777" w:rsidR="00390AE2" w:rsidRDefault="00000000">
            <w:r>
              <w:rPr>
                <w:sz w:val="19"/>
                <w:szCs w:val="19"/>
              </w:rPr>
              <w:t>The radial artery encircles this joint and its course varies. Aspirate before injecting.</w:t>
            </w:r>
          </w:p>
        </w:tc>
      </w:tr>
      <w:tr w:rsidR="00390AE2" w14:paraId="630250E3"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3E82757"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C39DDE4" w14:textId="77777777" w:rsidR="00390AE2" w:rsidRDefault="00000000">
            <w:r>
              <w:rPr>
                <w:sz w:val="19"/>
                <w:szCs w:val="19"/>
              </w:rPr>
              <w:t>None, if the radial artery is avoided.</w:t>
            </w:r>
          </w:p>
        </w:tc>
      </w:tr>
    </w:tbl>
    <w:p w14:paraId="6AE6053B" w14:textId="77777777" w:rsidR="00390AE2" w:rsidRDefault="00390AE2">
      <w:pPr>
        <w:spacing w:before="60"/>
      </w:pPr>
    </w:p>
    <w:p w14:paraId="15639070" w14:textId="77777777" w:rsidR="00390AE2" w:rsidRDefault="00000000">
      <w:pPr>
        <w:pBdr>
          <w:bottom w:val="single" w:sz="6" w:space="3" w:color="0B8A8A"/>
        </w:pBdr>
        <w:spacing w:before="240" w:after="80"/>
      </w:pPr>
      <w:r>
        <w:rPr>
          <w:b/>
          <w:bCs/>
          <w:color w:val="1B3A52"/>
          <w:sz w:val="23"/>
          <w:szCs w:val="23"/>
        </w:rPr>
        <w:t>Wrist Joint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15EEAD4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7A8D0A9"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259B12C" w14:textId="77777777" w:rsidR="00390AE2" w:rsidRDefault="00000000">
            <w:r>
              <w:rPr>
                <w:sz w:val="19"/>
                <w:szCs w:val="19"/>
              </w:rPr>
              <w:t xml:space="preserve">Acute arthritis (gout, pseudogout, septic arthritis); RA, other inflammatory </w:t>
            </w:r>
            <w:proofErr w:type="spellStart"/>
            <w:r>
              <w:rPr>
                <w:sz w:val="19"/>
                <w:szCs w:val="19"/>
              </w:rPr>
              <w:t>synovitides</w:t>
            </w:r>
            <w:proofErr w:type="spellEnd"/>
            <w:r>
              <w:rPr>
                <w:sz w:val="19"/>
                <w:szCs w:val="19"/>
              </w:rPr>
              <w:t>, OA.</w:t>
            </w:r>
          </w:p>
        </w:tc>
      </w:tr>
      <w:tr w:rsidR="00390AE2" w14:paraId="71137E4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07AD497"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033A5D21" w14:textId="77777777" w:rsidR="00390AE2" w:rsidRDefault="00000000">
            <w:r>
              <w:rPr>
                <w:sz w:val="19"/>
                <w:szCs w:val="19"/>
              </w:rPr>
              <w:t>23 gauge (injection); 18–20 gauge (aspiration of thick fluid)</w:t>
            </w:r>
          </w:p>
        </w:tc>
      </w:tr>
      <w:tr w:rsidR="00390AE2" w14:paraId="2D9DEC9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3E02D1E"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A2F8F6C" w14:textId="77777777" w:rsidR="00390AE2" w:rsidRDefault="00000000">
            <w:r>
              <w:rPr>
                <w:sz w:val="19"/>
                <w:szCs w:val="19"/>
              </w:rPr>
              <w:t>30–40 mg methylprednisolone. Attempt aspiration first.</w:t>
            </w:r>
          </w:p>
        </w:tc>
      </w:tr>
      <w:tr w:rsidR="00390AE2" w14:paraId="2426260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E893159"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036DF6E" w14:textId="77777777" w:rsidR="00390AE2" w:rsidRDefault="00000000">
            <w:r>
              <w:rPr>
                <w:sz w:val="19"/>
                <w:szCs w:val="19"/>
              </w:rPr>
              <w:t>Dorsal approach. Slightly palmar-flex the wrist. Enter just distal to Lister's tubercle, just ulnar to EPL tendon.</w:t>
            </w:r>
          </w:p>
        </w:tc>
      </w:tr>
      <w:tr w:rsidR="00390AE2" w14:paraId="1127B62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68C99D3"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3AF62CF6" w14:textId="77777777" w:rsidR="00390AE2" w:rsidRDefault="00000000">
            <w:r>
              <w:rPr>
                <w:sz w:val="19"/>
                <w:szCs w:val="19"/>
              </w:rPr>
              <w:t>No significant neurovascular structures at this entry point.</w:t>
            </w:r>
          </w:p>
        </w:tc>
      </w:tr>
      <w:tr w:rsidR="00390AE2" w14:paraId="61445B8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B82E4E2"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793843A" w14:textId="77777777" w:rsidR="00390AE2" w:rsidRDefault="00000000">
            <w:r>
              <w:rPr>
                <w:sz w:val="19"/>
                <w:szCs w:val="19"/>
              </w:rPr>
              <w:t>None.</w:t>
            </w:r>
          </w:p>
        </w:tc>
      </w:tr>
    </w:tbl>
    <w:p w14:paraId="1678BF5C" w14:textId="77777777" w:rsidR="00390AE2" w:rsidRDefault="00000000">
      <w:pPr>
        <w:spacing w:before="120" w:after="60"/>
        <w:jc w:val="center"/>
      </w:pPr>
      <w:r>
        <w:rPr>
          <w:noProof/>
        </w:rPr>
        <w:drawing>
          <wp:inline distT="0" distB="0" distL="0" distR="0" wp14:anchorId="657BB58D" wp14:editId="33EA7A7C">
            <wp:extent cx="3100387" cy="3947105"/>
            <wp:effectExtent l="0" t="0" r="5080" b="0"/>
            <wp:docPr id="1236290218" name="fig08_wrist_joint.png" descr="Fig. 8  Injection of the wrist joint" title="Fig. 8  Injection of the wrist j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3108519" cy="3957458"/>
                    </a:xfrm>
                    <a:prstGeom prst="rect">
                      <a:avLst/>
                    </a:prstGeom>
                  </pic:spPr>
                </pic:pic>
              </a:graphicData>
            </a:graphic>
          </wp:inline>
        </w:drawing>
      </w:r>
    </w:p>
    <w:p w14:paraId="3151FA6C"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8  Injection</w:t>
      </w:r>
      <w:proofErr w:type="gramEnd"/>
      <w:r>
        <w:rPr>
          <w:i/>
          <w:iCs/>
          <w:color w:val="6B7280"/>
          <w:sz w:val="18"/>
          <w:szCs w:val="18"/>
        </w:rPr>
        <w:t xml:space="preserve"> of the wrist joint</w:t>
      </w:r>
    </w:p>
    <w:p w14:paraId="3100DE72" w14:textId="77777777" w:rsidR="00390AE2" w:rsidRDefault="00390AE2">
      <w:pPr>
        <w:spacing w:before="60"/>
      </w:pPr>
    </w:p>
    <w:p w14:paraId="096293C2" w14:textId="77777777" w:rsidR="00390AE2" w:rsidRDefault="00000000">
      <w:pPr>
        <w:pBdr>
          <w:bottom w:val="single" w:sz="6" w:space="3" w:color="0B8A8A"/>
        </w:pBdr>
        <w:spacing w:before="240" w:after="80"/>
      </w:pPr>
      <w:r>
        <w:rPr>
          <w:b/>
          <w:bCs/>
          <w:color w:val="1B3A52"/>
          <w:sz w:val="23"/>
          <w:szCs w:val="23"/>
        </w:rPr>
        <w:lastRenderedPageBreak/>
        <w:t>Ganglia</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5851A9D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5CB32E0"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7F6B7418" w14:textId="77777777" w:rsidR="00390AE2" w:rsidRDefault="00000000">
            <w:r>
              <w:rPr>
                <w:sz w:val="19"/>
                <w:szCs w:val="19"/>
              </w:rPr>
              <w:t>Symptomatic dorsal wrist ganglia. Injection combined with aspiration is effective.</w:t>
            </w:r>
          </w:p>
        </w:tc>
      </w:tr>
      <w:tr w:rsidR="00390AE2" w14:paraId="68DE688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FEC7C62"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E6CA40D" w14:textId="77777777" w:rsidR="00390AE2" w:rsidRDefault="00000000">
            <w:r>
              <w:rPr>
                <w:sz w:val="19"/>
                <w:szCs w:val="19"/>
              </w:rPr>
              <w:t>18–20 gauge (ganglia fluid is very viscous — finer needles will block)</w:t>
            </w:r>
          </w:p>
        </w:tc>
      </w:tr>
      <w:tr w:rsidR="00390AE2" w14:paraId="523ED3E8"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75BF847"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E508658" w14:textId="77777777" w:rsidR="00390AE2" w:rsidRDefault="00000000">
            <w:r>
              <w:rPr>
                <w:sz w:val="19"/>
                <w:szCs w:val="19"/>
              </w:rPr>
              <w:t>15–20 mg methylprednisolone after aspiration</w:t>
            </w:r>
          </w:p>
        </w:tc>
      </w:tr>
      <w:tr w:rsidR="00390AE2" w14:paraId="796706AD"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F544160"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E5CCE66" w14:textId="77777777" w:rsidR="00390AE2" w:rsidRDefault="00000000">
            <w:r>
              <w:rPr>
                <w:sz w:val="19"/>
                <w:szCs w:val="19"/>
              </w:rPr>
              <w:t>Aim to the centre. Aspirate viscous translucent fluid completely. If fluid is not translucent, send for culture and crystal analysis.</w:t>
            </w:r>
          </w:p>
        </w:tc>
      </w:tr>
      <w:tr w:rsidR="00390AE2" w14:paraId="5584EF2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0782325"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BE90581" w14:textId="77777777" w:rsidR="00390AE2" w:rsidRDefault="00000000">
            <w:r>
              <w:rPr>
                <w:sz w:val="19"/>
                <w:szCs w:val="19"/>
              </w:rPr>
              <w:t>Exclude radial artery aneurysm (pulsatile). Ganglia &gt; 3 cm or within the carpal tunnel should be referred for surgical excision.</w:t>
            </w:r>
          </w:p>
        </w:tc>
      </w:tr>
      <w:tr w:rsidR="00390AE2" w14:paraId="613F8B7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7D73625"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645078D" w14:textId="77777777" w:rsidR="00390AE2" w:rsidRDefault="00000000">
            <w:r>
              <w:rPr>
                <w:sz w:val="19"/>
                <w:szCs w:val="19"/>
              </w:rPr>
              <w:t>None.</w:t>
            </w:r>
          </w:p>
        </w:tc>
      </w:tr>
    </w:tbl>
    <w:p w14:paraId="5DD5DC2C"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3B5DC454"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706C6790" w14:textId="77777777" w:rsidR="00390AE2" w:rsidRDefault="00000000">
            <w:pPr>
              <w:spacing w:after="80"/>
            </w:pPr>
            <w:r>
              <w:rPr>
                <w:b/>
                <w:bCs/>
                <w:color w:val="166534"/>
                <w:sz w:val="18"/>
                <w:szCs w:val="18"/>
              </w:rPr>
              <w:t>CLINICAL NOTE</w:t>
            </w:r>
          </w:p>
          <w:p w14:paraId="09CDE884" w14:textId="77777777" w:rsidR="00390AE2" w:rsidRDefault="00000000">
            <w:pPr>
              <w:spacing w:after="50"/>
            </w:pPr>
            <w:r>
              <w:rPr>
                <w:color w:val="166534"/>
                <w:sz w:val="19"/>
                <w:szCs w:val="19"/>
              </w:rPr>
              <w:t>Natural resolution occurs in up to 50% of cases. Discuss watchful waiting as the first option.</w:t>
            </w:r>
          </w:p>
        </w:tc>
      </w:tr>
    </w:tbl>
    <w:p w14:paraId="1741A315" w14:textId="77777777" w:rsidR="00390AE2" w:rsidRDefault="00390AE2">
      <w:pPr>
        <w:spacing w:before="60"/>
      </w:pPr>
    </w:p>
    <w:p w14:paraId="4C1A2AEE" w14:textId="4BB44497" w:rsidR="00014114" w:rsidRDefault="00014114">
      <w:r>
        <w:br w:type="page"/>
      </w:r>
    </w:p>
    <w:p w14:paraId="5DB82986"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15CC35EF"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22EDBF2F" w14:textId="77777777" w:rsidR="00390AE2" w:rsidRDefault="00000000">
            <w:r>
              <w:rPr>
                <w:b/>
                <w:bCs/>
                <w:color w:val="FFFFFF"/>
                <w:sz w:val="32"/>
                <w:szCs w:val="32"/>
              </w:rPr>
              <w:t>The Elbow Region</w:t>
            </w:r>
          </w:p>
        </w:tc>
      </w:tr>
    </w:tbl>
    <w:p w14:paraId="563DCCB8" w14:textId="77777777" w:rsidR="00390AE2" w:rsidRDefault="00390AE2">
      <w:pPr>
        <w:spacing w:before="40"/>
      </w:pPr>
    </w:p>
    <w:p w14:paraId="1BE37FD8" w14:textId="65C3B448" w:rsidR="00390AE2" w:rsidRDefault="00000000" w:rsidP="00014114">
      <w:r>
        <w:rPr>
          <w:b/>
          <w:bCs/>
          <w:color w:val="1B3A52"/>
          <w:sz w:val="23"/>
          <w:szCs w:val="23"/>
        </w:rPr>
        <w:t>Elbow Joint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7B77A71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1AC4283"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880422D" w14:textId="77777777" w:rsidR="00390AE2" w:rsidRDefault="00000000">
            <w:r>
              <w:rPr>
                <w:sz w:val="19"/>
                <w:szCs w:val="19"/>
              </w:rPr>
              <w:t>Aspiration for acute arthritis. Injection for RA, psoriatic arthritis.</w:t>
            </w:r>
          </w:p>
        </w:tc>
      </w:tr>
      <w:tr w:rsidR="00390AE2" w14:paraId="3DE4FB8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8522008"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1A3A45B" w14:textId="77777777" w:rsidR="00390AE2" w:rsidRDefault="00000000">
            <w:r>
              <w:rPr>
                <w:sz w:val="19"/>
                <w:szCs w:val="19"/>
              </w:rPr>
              <w:t>22 gauge (injection); 18–20 gauge (aspiration)</w:t>
            </w:r>
          </w:p>
        </w:tc>
      </w:tr>
      <w:tr w:rsidR="00390AE2" w14:paraId="0A76F64F"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492DE16"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15EBC9E" w14:textId="77777777" w:rsidR="00390AE2" w:rsidRDefault="00000000">
            <w:r>
              <w:rPr>
                <w:sz w:val="19"/>
                <w:szCs w:val="19"/>
              </w:rPr>
              <w:t>30–40 mg methylprednisolone. Attempt aspiration first.</w:t>
            </w:r>
          </w:p>
        </w:tc>
      </w:tr>
      <w:tr w:rsidR="00390AE2" w14:paraId="5E50A2AF"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0D3E050" w14:textId="77777777" w:rsidR="00390AE2" w:rsidRDefault="00000000">
            <w:r>
              <w:rPr>
                <w:b/>
                <w:bCs/>
                <w:color w:val="1B3A52"/>
                <w:sz w:val="19"/>
                <w:szCs w:val="19"/>
              </w:rPr>
              <w:t>Position</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B51059A" w14:textId="77777777" w:rsidR="00390AE2" w:rsidRDefault="00000000">
            <w:r>
              <w:rPr>
                <w:sz w:val="19"/>
                <w:szCs w:val="19"/>
              </w:rPr>
              <w:t>Elbow flexed to 90° for all approaches.</w:t>
            </w:r>
          </w:p>
        </w:tc>
      </w:tr>
      <w:tr w:rsidR="00390AE2" w14:paraId="19AF817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67E0730" w14:textId="77777777" w:rsidR="00390AE2" w:rsidRDefault="00000000">
            <w:r>
              <w:rPr>
                <w:b/>
                <w:bCs/>
                <w:color w:val="1B3A52"/>
                <w:sz w:val="19"/>
                <w:szCs w:val="19"/>
              </w:rPr>
              <w:t>Posterior 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3BE6A0B1" w14:textId="77777777" w:rsidR="00390AE2" w:rsidRDefault="00000000">
            <w:r>
              <w:rPr>
                <w:sz w:val="19"/>
                <w:szCs w:val="19"/>
              </w:rPr>
              <w:t>Palpate the midline depression between the two halves of the triceps tendon. Insert the needle perpendicularly into the olecranon fossa.</w:t>
            </w:r>
          </w:p>
        </w:tc>
      </w:tr>
      <w:tr w:rsidR="00390AE2" w14:paraId="7BC0800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D07746B" w14:textId="77777777" w:rsidR="00390AE2" w:rsidRDefault="00000000">
            <w:r>
              <w:rPr>
                <w:b/>
                <w:bCs/>
                <w:color w:val="1B3A52"/>
                <w:sz w:val="19"/>
                <w:szCs w:val="19"/>
              </w:rPr>
              <w:t>Inferolateral 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20A2F2C" w14:textId="77777777" w:rsidR="00390AE2" w:rsidRDefault="00000000">
            <w:r>
              <w:rPr>
                <w:sz w:val="19"/>
                <w:szCs w:val="19"/>
              </w:rPr>
              <w:t>Palpate the midpoint between the olecranon tip and lateral epicondyle. Insert perpendicularly, aiming at the joint centre.</w:t>
            </w:r>
          </w:p>
        </w:tc>
      </w:tr>
      <w:tr w:rsidR="00390AE2" w14:paraId="338F5E7D"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2FC6C9A" w14:textId="77777777" w:rsidR="00390AE2" w:rsidRDefault="00000000">
            <w:r>
              <w:rPr>
                <w:b/>
                <w:bCs/>
                <w:color w:val="1B3A52"/>
                <w:sz w:val="19"/>
                <w:szCs w:val="19"/>
              </w:rPr>
              <w:t>Lateral 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8DF24B0" w14:textId="77777777" w:rsidR="00390AE2" w:rsidRDefault="00000000">
            <w:r>
              <w:rPr>
                <w:sz w:val="19"/>
                <w:szCs w:val="19"/>
              </w:rPr>
              <w:t xml:space="preserve">Enter the </w:t>
            </w:r>
            <w:proofErr w:type="spellStart"/>
            <w:r>
              <w:rPr>
                <w:sz w:val="19"/>
                <w:szCs w:val="19"/>
              </w:rPr>
              <w:t>radiocapitellar</w:t>
            </w:r>
            <w:proofErr w:type="spellEnd"/>
            <w:r>
              <w:rPr>
                <w:sz w:val="19"/>
                <w:szCs w:val="19"/>
              </w:rPr>
              <w:t xml:space="preserve"> joint from the lateral side, just proximal to the radial head. Pass tangentially between the two bones.</w:t>
            </w:r>
          </w:p>
        </w:tc>
      </w:tr>
      <w:tr w:rsidR="00390AE2" w14:paraId="1B3C15B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E28A021"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793C6BE" w14:textId="77777777" w:rsidR="00390AE2" w:rsidRDefault="00000000">
            <w:r>
              <w:rPr>
                <w:sz w:val="19"/>
                <w:szCs w:val="19"/>
              </w:rPr>
              <w:t>No significant neurovascular structures at any of these entry points.</w:t>
            </w:r>
          </w:p>
        </w:tc>
      </w:tr>
      <w:tr w:rsidR="00390AE2" w14:paraId="5779B33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B197A72"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B7B625F" w14:textId="77777777" w:rsidR="00390AE2" w:rsidRDefault="00000000">
            <w:r>
              <w:rPr>
                <w:sz w:val="19"/>
                <w:szCs w:val="19"/>
              </w:rPr>
              <w:t>None.</w:t>
            </w:r>
          </w:p>
        </w:tc>
      </w:tr>
    </w:tbl>
    <w:p w14:paraId="72DC7973" w14:textId="77777777" w:rsidR="00390AE2" w:rsidRDefault="00000000">
      <w:pPr>
        <w:spacing w:before="120" w:after="60"/>
        <w:jc w:val="center"/>
      </w:pPr>
      <w:r>
        <w:rPr>
          <w:noProof/>
        </w:rPr>
        <w:drawing>
          <wp:inline distT="0" distB="0" distL="0" distR="0" wp14:anchorId="148488C6" wp14:editId="0B2084F2">
            <wp:extent cx="2924175" cy="3248084"/>
            <wp:effectExtent l="0" t="0" r="0" b="9525"/>
            <wp:docPr id="1481837506" name="fig09_elbow_posterior.png" descr="Fig. 9  Elbow — posterior approach" title="Fig. 9  Elbow — posterior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928380" cy="3252755"/>
                    </a:xfrm>
                    <a:prstGeom prst="rect">
                      <a:avLst/>
                    </a:prstGeom>
                  </pic:spPr>
                </pic:pic>
              </a:graphicData>
            </a:graphic>
          </wp:inline>
        </w:drawing>
      </w:r>
    </w:p>
    <w:p w14:paraId="0F2C2D63"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9  Elbow</w:t>
      </w:r>
      <w:proofErr w:type="gramEnd"/>
      <w:r>
        <w:rPr>
          <w:i/>
          <w:iCs/>
          <w:color w:val="6B7280"/>
          <w:sz w:val="18"/>
          <w:szCs w:val="18"/>
        </w:rPr>
        <w:t xml:space="preserve"> — posterior approach</w:t>
      </w:r>
    </w:p>
    <w:p w14:paraId="2CD5E524" w14:textId="77777777" w:rsidR="00390AE2" w:rsidRDefault="00000000">
      <w:pPr>
        <w:spacing w:before="120" w:after="60"/>
        <w:jc w:val="center"/>
      </w:pPr>
      <w:r>
        <w:rPr>
          <w:noProof/>
        </w:rPr>
        <w:lastRenderedPageBreak/>
        <w:drawing>
          <wp:inline distT="0" distB="0" distL="0" distR="0" wp14:anchorId="3153A3F8" wp14:editId="0D6747D3">
            <wp:extent cx="2914650" cy="3327185"/>
            <wp:effectExtent l="0" t="0" r="0" b="6985"/>
            <wp:docPr id="1842430791" name="fig10_elbow_lateral.png" descr="Fig. 10  Elbow — lateral approach" title="Fig. 10  Elbow — lateral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920481" cy="3333841"/>
                    </a:xfrm>
                    <a:prstGeom prst="rect">
                      <a:avLst/>
                    </a:prstGeom>
                  </pic:spPr>
                </pic:pic>
              </a:graphicData>
            </a:graphic>
          </wp:inline>
        </w:drawing>
      </w:r>
    </w:p>
    <w:p w14:paraId="24C45612"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10  Elbow</w:t>
      </w:r>
      <w:proofErr w:type="gramEnd"/>
      <w:r>
        <w:rPr>
          <w:i/>
          <w:iCs/>
          <w:color w:val="6B7280"/>
          <w:sz w:val="18"/>
          <w:szCs w:val="18"/>
        </w:rPr>
        <w:t xml:space="preserve"> — lateral approach</w:t>
      </w:r>
    </w:p>
    <w:p w14:paraId="1B26A8AA" w14:textId="77777777" w:rsidR="00390AE2" w:rsidRDefault="00390AE2">
      <w:pPr>
        <w:spacing w:before="60"/>
      </w:pPr>
    </w:p>
    <w:p w14:paraId="3521371C" w14:textId="77777777" w:rsidR="00390AE2" w:rsidRDefault="00000000">
      <w:pPr>
        <w:pBdr>
          <w:bottom w:val="single" w:sz="6" w:space="3" w:color="0B8A8A"/>
        </w:pBdr>
        <w:spacing w:before="240" w:after="80"/>
      </w:pPr>
      <w:r>
        <w:rPr>
          <w:b/>
          <w:bCs/>
          <w:color w:val="1B3A52"/>
          <w:sz w:val="23"/>
          <w:szCs w:val="23"/>
        </w:rPr>
        <w:t>Olecranon Bursa</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5451FAD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64BED3C"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39D8FC40" w14:textId="77777777" w:rsidR="00390AE2" w:rsidRDefault="00000000">
            <w:r>
              <w:rPr>
                <w:sz w:val="19"/>
                <w:szCs w:val="19"/>
              </w:rPr>
              <w:t>Diagnosis of bursitis (exclude infection). Treatment of aseptic bursitis refractory to conservative management. A negative bursal fluid culture is required before injecting.</w:t>
            </w:r>
          </w:p>
        </w:tc>
      </w:tr>
      <w:tr w:rsidR="00390AE2" w14:paraId="5484BEF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810F0E8"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CF6D636" w14:textId="77777777" w:rsidR="00390AE2" w:rsidRDefault="00000000">
            <w:r>
              <w:rPr>
                <w:sz w:val="19"/>
                <w:szCs w:val="19"/>
              </w:rPr>
              <w:t>22 gauge</w:t>
            </w:r>
          </w:p>
        </w:tc>
      </w:tr>
      <w:tr w:rsidR="00390AE2" w14:paraId="4688BEA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39EF28F"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03CC0FDA" w14:textId="77777777" w:rsidR="00390AE2" w:rsidRDefault="00000000">
            <w:r>
              <w:rPr>
                <w:sz w:val="19"/>
                <w:szCs w:val="19"/>
              </w:rPr>
              <w:t>20 mg methylprednisolone acetate. Aspirate first.</w:t>
            </w:r>
          </w:p>
        </w:tc>
      </w:tr>
      <w:tr w:rsidR="00390AE2" w14:paraId="35B4207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7066602"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B8418B2" w14:textId="77777777" w:rsidR="00390AE2" w:rsidRDefault="00000000">
            <w:r>
              <w:rPr>
                <w:sz w:val="19"/>
                <w:szCs w:val="19"/>
              </w:rPr>
              <w:t>Lateral, through normal skin, aiming at the bursa centre. Avoid the bursal apex — the skin is maximally stretched there and can create a chronic sinus.</w:t>
            </w:r>
          </w:p>
        </w:tc>
      </w:tr>
      <w:tr w:rsidR="00390AE2" w14:paraId="19509AD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A4E0065"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7D71FF00" w14:textId="77777777" w:rsidR="00390AE2" w:rsidRDefault="00000000">
            <w:r>
              <w:rPr>
                <w:sz w:val="19"/>
                <w:szCs w:val="19"/>
              </w:rPr>
              <w:t>Do NOT enter medially — risk of ulnar nerve injury. Avoid injecting through inflamed or infected skin.</w:t>
            </w:r>
          </w:p>
        </w:tc>
      </w:tr>
      <w:tr w:rsidR="00390AE2" w14:paraId="45005ECC"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44FE21F"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7A2A0D1" w14:textId="77777777" w:rsidR="00390AE2" w:rsidRDefault="00000000">
            <w:r>
              <w:rPr>
                <w:sz w:val="19"/>
                <w:szCs w:val="19"/>
              </w:rPr>
              <w:t>Skin atrophy, chronic pressure pain, septic bursitis (particularly with triamcinolone).</w:t>
            </w:r>
          </w:p>
        </w:tc>
      </w:tr>
    </w:tbl>
    <w:p w14:paraId="3A418F07"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6223B570"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0018CDFF" w14:textId="77777777" w:rsidR="00390AE2" w:rsidRDefault="00000000">
            <w:pPr>
              <w:spacing w:after="80"/>
            </w:pPr>
            <w:r>
              <w:rPr>
                <w:b/>
                <w:bCs/>
                <w:color w:val="166534"/>
                <w:sz w:val="18"/>
                <w:szCs w:val="18"/>
              </w:rPr>
              <w:t>CLINICAL NOTE</w:t>
            </w:r>
          </w:p>
          <w:p w14:paraId="52A369EE" w14:textId="77777777" w:rsidR="00390AE2" w:rsidRDefault="00000000">
            <w:pPr>
              <w:spacing w:after="50"/>
            </w:pPr>
            <w:r>
              <w:rPr>
                <w:color w:val="166534"/>
                <w:sz w:val="19"/>
                <w:szCs w:val="19"/>
              </w:rPr>
              <w:t xml:space="preserve">Conservative management first: avoid leaning on the elbow for 3 months. Use methylprednisolone acetate only — triamcinolone </w:t>
            </w:r>
            <w:proofErr w:type="spellStart"/>
            <w:r>
              <w:rPr>
                <w:color w:val="166534"/>
                <w:sz w:val="19"/>
                <w:szCs w:val="19"/>
              </w:rPr>
              <w:t>hexacetonide</w:t>
            </w:r>
            <w:proofErr w:type="spellEnd"/>
            <w:r>
              <w:rPr>
                <w:color w:val="166534"/>
                <w:sz w:val="19"/>
                <w:szCs w:val="19"/>
              </w:rPr>
              <w:t xml:space="preserve"> has a higher complication rate in the olecranon bursa.</w:t>
            </w:r>
          </w:p>
        </w:tc>
      </w:tr>
    </w:tbl>
    <w:p w14:paraId="0EF47955" w14:textId="77777777" w:rsidR="00390AE2" w:rsidRDefault="00390AE2">
      <w:pPr>
        <w:spacing w:before="60"/>
      </w:pPr>
    </w:p>
    <w:p w14:paraId="6F97D4D0" w14:textId="2ECC1D09" w:rsidR="00014114" w:rsidRDefault="00000000">
      <w:pPr>
        <w:pBdr>
          <w:bottom w:val="single" w:sz="6" w:space="3" w:color="0B8A8A"/>
        </w:pBdr>
        <w:spacing w:before="240" w:after="80"/>
        <w:rPr>
          <w:b/>
          <w:bCs/>
          <w:color w:val="1B3A52"/>
          <w:sz w:val="23"/>
          <w:szCs w:val="23"/>
        </w:rPr>
      </w:pPr>
      <w:r>
        <w:rPr>
          <w:b/>
          <w:bCs/>
          <w:color w:val="1B3A52"/>
          <w:sz w:val="23"/>
          <w:szCs w:val="23"/>
        </w:rPr>
        <w:t>Tennis Elbow (Lateral Epicondylitis)</w:t>
      </w:r>
    </w:p>
    <w:p w14:paraId="09C761A2" w14:textId="77777777" w:rsidR="00014114" w:rsidRDefault="00014114" w:rsidP="00014114">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014114" w14:paraId="5C513E53" w14:textId="77777777" w:rsidTr="00912780">
        <w:tblPrEx>
          <w:tblCellMar>
            <w:top w:w="0" w:type="dxa"/>
            <w:bottom w:w="0" w:type="dxa"/>
          </w:tblCellMar>
        </w:tblPrEx>
        <w:tc>
          <w:tcPr>
            <w:tcW w:w="9746" w:type="dxa"/>
            <w:tcBorders>
              <w:top w:val="single" w:sz="12" w:space="0" w:color="B45309"/>
              <w:left w:val="single" w:sz="28" w:space="0" w:color="B45309"/>
              <w:bottom w:val="single" w:sz="12" w:space="0" w:color="B45309"/>
              <w:right w:val="single" w:sz="12" w:space="0" w:color="B45309"/>
            </w:tcBorders>
            <w:shd w:val="clear" w:color="auto" w:fill="FFF3CD"/>
            <w:tcMar>
              <w:top w:w="140" w:type="dxa"/>
              <w:left w:w="220" w:type="dxa"/>
              <w:bottom w:w="140" w:type="dxa"/>
              <w:right w:w="220" w:type="dxa"/>
            </w:tcMar>
          </w:tcPr>
          <w:p w14:paraId="40F927AB" w14:textId="77777777" w:rsidR="00014114" w:rsidRDefault="00014114" w:rsidP="00912780">
            <w:pPr>
              <w:spacing w:after="80"/>
            </w:pPr>
            <w:proofErr w:type="gramStart"/>
            <w:r>
              <w:rPr>
                <w:b/>
                <w:bCs/>
                <w:color w:val="B45309"/>
                <w:sz w:val="18"/>
                <w:szCs w:val="18"/>
              </w:rPr>
              <w:t>⚠  TENNIS</w:t>
            </w:r>
            <w:proofErr w:type="gramEnd"/>
            <w:r>
              <w:rPr>
                <w:b/>
                <w:bCs/>
                <w:color w:val="B45309"/>
                <w:sz w:val="18"/>
                <w:szCs w:val="18"/>
              </w:rPr>
              <w:t xml:space="preserve"> ELBOW — IMPORTANT CHANGE IN GUIDANCE</w:t>
            </w:r>
          </w:p>
          <w:p w14:paraId="31739E38" w14:textId="77777777" w:rsidR="00014114" w:rsidRDefault="00014114" w:rsidP="00912780">
            <w:pPr>
              <w:spacing w:after="50"/>
            </w:pPr>
            <w:r>
              <w:rPr>
                <w:color w:val="B45309"/>
                <w:sz w:val="19"/>
                <w:szCs w:val="19"/>
              </w:rPr>
              <w:t>Repeated corticosteroid injections for lateral epicondylitis (tennis elbow) are now strongly discouraged.</w:t>
            </w:r>
          </w:p>
          <w:p w14:paraId="3B898EAE" w14:textId="77777777" w:rsidR="00014114" w:rsidRDefault="00014114" w:rsidP="00912780">
            <w:pPr>
              <w:spacing w:after="50"/>
            </w:pPr>
            <w:r>
              <w:rPr>
                <w:color w:val="B45309"/>
                <w:sz w:val="19"/>
                <w:szCs w:val="19"/>
              </w:rPr>
              <w:t>High-quality evidence shows 12-month outcomes are WORSE than with physiotherapy or watchful waiting.</w:t>
            </w:r>
          </w:p>
          <w:p w14:paraId="273375DD" w14:textId="77777777" w:rsidR="00014114" w:rsidRDefault="00014114" w:rsidP="00912780">
            <w:pPr>
              <w:spacing w:after="50"/>
            </w:pPr>
            <w:r>
              <w:rPr>
                <w:color w:val="B45309"/>
                <w:sz w:val="19"/>
                <w:szCs w:val="19"/>
              </w:rPr>
              <w:t>First-line treatment is exercise-based physiotherapy. Injection should only be considered once, after an adequate physiotherapy trial.</w:t>
            </w:r>
          </w:p>
          <w:p w14:paraId="7C3D7227" w14:textId="77777777" w:rsidR="00014114" w:rsidRDefault="00014114" w:rsidP="00912780">
            <w:pPr>
              <w:spacing w:after="50"/>
            </w:pPr>
            <w:r>
              <w:rPr>
                <w:color w:val="B45309"/>
                <w:sz w:val="19"/>
                <w:szCs w:val="19"/>
              </w:rPr>
              <w:t>Source: NICE CKS — Tennis Elbow (updated 2024).</w:t>
            </w:r>
          </w:p>
        </w:tc>
      </w:tr>
    </w:tbl>
    <w:p w14:paraId="19E538F9" w14:textId="77777777" w:rsidR="00014114" w:rsidRPr="00014114" w:rsidRDefault="00014114">
      <w:pPr>
        <w:pBdr>
          <w:bottom w:val="single" w:sz="6" w:space="3" w:color="0B8A8A"/>
        </w:pBdr>
        <w:spacing w:before="240" w:after="80"/>
        <w:rPr>
          <w:b/>
          <w:bCs/>
          <w:color w:val="1B3A52"/>
          <w:sz w:val="23"/>
          <w:szCs w:val="23"/>
        </w:rPr>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0F19B14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FF4BB0E"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2AB8D03E" w14:textId="77777777" w:rsidR="00390AE2" w:rsidRDefault="00000000">
            <w:r>
              <w:rPr>
                <w:sz w:val="19"/>
                <w:szCs w:val="19"/>
              </w:rPr>
              <w:t>Only consider after a minimum 6-week trial of exercise-based physiotherapy and analgesia has failed. This procedure is now DISCOURAGED as routine practice.</w:t>
            </w:r>
          </w:p>
        </w:tc>
      </w:tr>
      <w:tr w:rsidR="00390AE2" w14:paraId="3404911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7B34AC2"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447DD60" w14:textId="77777777" w:rsidR="00390AE2" w:rsidRDefault="00000000">
            <w:r>
              <w:rPr>
                <w:sz w:val="19"/>
                <w:szCs w:val="19"/>
              </w:rPr>
              <w:t>22 gauge</w:t>
            </w:r>
          </w:p>
        </w:tc>
      </w:tr>
      <w:tr w:rsidR="00390AE2" w14:paraId="21DF6EFF"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E3F7B7F"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47183F0" w14:textId="77777777" w:rsidR="00390AE2" w:rsidRDefault="00000000">
            <w:r>
              <w:rPr>
                <w:sz w:val="19"/>
                <w:szCs w:val="19"/>
              </w:rPr>
              <w:t>10–20 mg methylprednisolone</w:t>
            </w:r>
          </w:p>
        </w:tc>
      </w:tr>
      <w:tr w:rsidR="00390AE2" w14:paraId="4D4DDE98"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3B1FA31"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DD7DD34" w14:textId="77777777" w:rsidR="00390AE2" w:rsidRDefault="00000000">
            <w:r>
              <w:rPr>
                <w:sz w:val="19"/>
                <w:szCs w:val="19"/>
              </w:rPr>
              <w:t xml:space="preserve">At the point of maximum tenderness over the common extensor origin. Pass needle to periosteal contact. Infiltrate 2–3 ml lidocaine first — failure to abolish pain on resisted wrist dorsiflexion means wrong site. The corticosteroid is infiltrated deeply at the </w:t>
            </w:r>
            <w:proofErr w:type="spellStart"/>
            <w:r>
              <w:rPr>
                <w:sz w:val="19"/>
                <w:szCs w:val="19"/>
              </w:rPr>
              <w:t>tenoperiosteal</w:t>
            </w:r>
            <w:proofErr w:type="spellEnd"/>
            <w:r>
              <w:rPr>
                <w:sz w:val="19"/>
                <w:szCs w:val="19"/>
              </w:rPr>
              <w:t xml:space="preserve"> junction.</w:t>
            </w:r>
          </w:p>
        </w:tc>
      </w:tr>
      <w:tr w:rsidR="00390AE2" w14:paraId="5556AF4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F614ABB"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27CB5CA" w14:textId="77777777" w:rsidR="00390AE2" w:rsidRDefault="00000000">
            <w:r>
              <w:rPr>
                <w:sz w:val="19"/>
                <w:szCs w:val="19"/>
              </w:rPr>
              <w:t>Do not inject superficially. Superficial injection increases risk of skin atrophy and hypopigmentation.</w:t>
            </w:r>
          </w:p>
        </w:tc>
      </w:tr>
      <w:tr w:rsidR="00390AE2" w14:paraId="715E904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98FB0D3"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87F9407" w14:textId="77777777" w:rsidR="00390AE2" w:rsidRDefault="00000000">
            <w:r>
              <w:rPr>
                <w:sz w:val="19"/>
                <w:szCs w:val="19"/>
              </w:rPr>
              <w:t>Transient worsening of pain in ~40% of cases. Repeated injections cause chronic pain.</w:t>
            </w:r>
          </w:p>
        </w:tc>
      </w:tr>
      <w:tr w:rsidR="00014114" w14:paraId="14B1B07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72881C9" w14:textId="77777777" w:rsidR="00014114" w:rsidRDefault="00014114">
            <w:pPr>
              <w:rPr>
                <w:b/>
                <w:bCs/>
                <w:color w:val="1B3A52"/>
                <w:sz w:val="19"/>
                <w:szCs w:val="19"/>
              </w:rPr>
            </w:pP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807F793" w14:textId="77777777" w:rsidR="00014114" w:rsidRDefault="00014114">
            <w:pPr>
              <w:rPr>
                <w:sz w:val="19"/>
                <w:szCs w:val="19"/>
              </w:rPr>
            </w:pPr>
          </w:p>
        </w:tc>
      </w:tr>
    </w:tbl>
    <w:p w14:paraId="53D2F047" w14:textId="77777777" w:rsidR="00390AE2" w:rsidRDefault="00000000">
      <w:pPr>
        <w:spacing w:before="120" w:after="60"/>
        <w:jc w:val="center"/>
      </w:pPr>
      <w:r>
        <w:rPr>
          <w:noProof/>
        </w:rPr>
        <w:drawing>
          <wp:inline distT="0" distB="0" distL="0" distR="0" wp14:anchorId="7F907756" wp14:editId="50220EED">
            <wp:extent cx="2990850" cy="3574281"/>
            <wp:effectExtent l="0" t="0" r="0" b="7620"/>
            <wp:docPr id="1907725960" name="fig11_lateral_epicondylitis.png" descr="Fig. 11  Injection at the lateral humeral epicondyle — tennis elbow" title="Fig. 11  Injection at the lateral humeral epicondyle — tennis elb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3007785" cy="3594520"/>
                    </a:xfrm>
                    <a:prstGeom prst="rect">
                      <a:avLst/>
                    </a:prstGeom>
                  </pic:spPr>
                </pic:pic>
              </a:graphicData>
            </a:graphic>
          </wp:inline>
        </w:drawing>
      </w:r>
    </w:p>
    <w:p w14:paraId="5E58BC04"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11  Injection</w:t>
      </w:r>
      <w:proofErr w:type="gramEnd"/>
      <w:r>
        <w:rPr>
          <w:i/>
          <w:iCs/>
          <w:color w:val="6B7280"/>
          <w:sz w:val="18"/>
          <w:szCs w:val="18"/>
        </w:rPr>
        <w:t xml:space="preserve"> at the lateral humeral epicondyle — tennis elbow</w:t>
      </w:r>
    </w:p>
    <w:p w14:paraId="0D31D8B2"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47C5DA05" w14:textId="77777777">
        <w:tblPrEx>
          <w:tblCellMar>
            <w:top w:w="0" w:type="dxa"/>
            <w:bottom w:w="0" w:type="dxa"/>
          </w:tblCellMar>
        </w:tblPrEx>
        <w:tc>
          <w:tcPr>
            <w:tcW w:w="9746" w:type="dxa"/>
            <w:tcBorders>
              <w:top w:val="single" w:sz="12" w:space="0" w:color="B45309"/>
              <w:left w:val="single" w:sz="28" w:space="0" w:color="B45309"/>
              <w:bottom w:val="single" w:sz="12" w:space="0" w:color="B45309"/>
              <w:right w:val="single" w:sz="12" w:space="0" w:color="B45309"/>
            </w:tcBorders>
            <w:shd w:val="clear" w:color="auto" w:fill="FFF3CD"/>
            <w:tcMar>
              <w:top w:w="140" w:type="dxa"/>
              <w:left w:w="220" w:type="dxa"/>
              <w:bottom w:w="140" w:type="dxa"/>
              <w:right w:w="220" w:type="dxa"/>
            </w:tcMar>
          </w:tcPr>
          <w:p w14:paraId="4C52E613" w14:textId="77777777" w:rsidR="00390AE2" w:rsidRDefault="00000000">
            <w:pPr>
              <w:spacing w:after="80"/>
            </w:pPr>
            <w:proofErr w:type="gramStart"/>
            <w:r>
              <w:rPr>
                <w:b/>
                <w:bCs/>
                <w:color w:val="B45309"/>
                <w:sz w:val="18"/>
                <w:szCs w:val="18"/>
              </w:rPr>
              <w:t>⚠  CAUTION</w:t>
            </w:r>
            <w:proofErr w:type="gramEnd"/>
          </w:p>
          <w:p w14:paraId="235156B3" w14:textId="77777777" w:rsidR="00390AE2" w:rsidRDefault="00000000">
            <w:pPr>
              <w:spacing w:after="50"/>
            </w:pPr>
            <w:r>
              <w:rPr>
                <w:color w:val="B45309"/>
                <w:sz w:val="19"/>
                <w:szCs w:val="19"/>
              </w:rPr>
              <w:t>High-quality evidence shows 12-month outcomes after corticosteroid injection are WORSE than with physiotherapy or watchful waiting.</w:t>
            </w:r>
          </w:p>
          <w:p w14:paraId="0277C4CF" w14:textId="77777777" w:rsidR="00390AE2" w:rsidRDefault="00000000">
            <w:pPr>
              <w:spacing w:after="50"/>
            </w:pPr>
            <w:r>
              <w:rPr>
                <w:color w:val="B45309"/>
                <w:sz w:val="19"/>
                <w:szCs w:val="19"/>
              </w:rPr>
              <w:t>Lack of improvement with lidocaine infiltration should prompt reassessment — consider posterior interosseous nerve compression or cervical radiculopathy.</w:t>
            </w:r>
          </w:p>
        </w:tc>
      </w:tr>
    </w:tbl>
    <w:p w14:paraId="0C49BABA"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4B43A47D"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038D31F0" w14:textId="77777777" w:rsidR="00390AE2" w:rsidRDefault="00000000">
            <w:pPr>
              <w:spacing w:after="80"/>
            </w:pPr>
            <w:r>
              <w:rPr>
                <w:b/>
                <w:bCs/>
                <w:color w:val="166534"/>
                <w:sz w:val="18"/>
                <w:szCs w:val="18"/>
              </w:rPr>
              <w:t>CLINICAL NOTE</w:t>
            </w:r>
          </w:p>
          <w:p w14:paraId="5AC178C9" w14:textId="77777777" w:rsidR="00390AE2" w:rsidRDefault="00000000">
            <w:pPr>
              <w:spacing w:after="50"/>
            </w:pPr>
            <w:r>
              <w:rPr>
                <w:color w:val="166534"/>
                <w:sz w:val="19"/>
                <w:szCs w:val="19"/>
              </w:rPr>
              <w:t>NICE CKS (2024): First-line treatment is exercise (eccentric loading, physiotherapy). Corticosteroid injection may impair long-term recovery. Over 90% of patients recover without injection.</w:t>
            </w:r>
          </w:p>
        </w:tc>
      </w:tr>
    </w:tbl>
    <w:p w14:paraId="0C0814F7" w14:textId="45A3865E" w:rsidR="00014114" w:rsidRDefault="00014114"/>
    <w:p w14:paraId="5FC2838E"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33E560DB"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2D190519" w14:textId="77777777" w:rsidR="00390AE2" w:rsidRDefault="00000000">
            <w:r>
              <w:rPr>
                <w:b/>
                <w:bCs/>
                <w:color w:val="FFFFFF"/>
                <w:sz w:val="32"/>
                <w:szCs w:val="32"/>
              </w:rPr>
              <w:t>The Shoulder Region</w:t>
            </w:r>
          </w:p>
        </w:tc>
      </w:tr>
    </w:tbl>
    <w:p w14:paraId="01C1840F" w14:textId="77777777" w:rsidR="00390AE2" w:rsidRDefault="00390AE2">
      <w:pPr>
        <w:spacing w:before="40"/>
      </w:pPr>
    </w:p>
    <w:p w14:paraId="77F3E666" w14:textId="77777777" w:rsidR="00390AE2" w:rsidRDefault="00000000">
      <w:pPr>
        <w:pBdr>
          <w:bottom w:val="single" w:sz="6" w:space="3" w:color="0B8A8A"/>
        </w:pBdr>
        <w:spacing w:before="240" w:after="80"/>
      </w:pPr>
      <w:r>
        <w:rPr>
          <w:b/>
          <w:bCs/>
          <w:color w:val="1B3A52"/>
          <w:sz w:val="23"/>
          <w:szCs w:val="23"/>
        </w:rPr>
        <w:t>Glenohumeral Joint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180D2D1C"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2DAC4AD"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7DB807B9" w14:textId="77777777" w:rsidR="00390AE2" w:rsidRDefault="00000000">
            <w:r>
              <w:rPr>
                <w:sz w:val="19"/>
                <w:szCs w:val="19"/>
              </w:rPr>
              <w:t>Aspiration for acute arthritis. Injection for RA, spondyloarthropathy, adhesive capsulitis (frozen shoulder — particularly the pain-predominant phase), OA.</w:t>
            </w:r>
          </w:p>
        </w:tc>
      </w:tr>
      <w:tr w:rsidR="00390AE2" w14:paraId="78B72A9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C884A09"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38D2452" w14:textId="77777777" w:rsidR="00390AE2" w:rsidRDefault="00000000">
            <w:r>
              <w:rPr>
                <w:sz w:val="19"/>
                <w:szCs w:val="19"/>
              </w:rPr>
              <w:t>22 gauge (injection); 20 gauge or larger (aspiration)</w:t>
            </w:r>
          </w:p>
        </w:tc>
      </w:tr>
      <w:tr w:rsidR="00390AE2" w14:paraId="7D0B967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5E9C3AA"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4041E50" w14:textId="77777777" w:rsidR="00390AE2" w:rsidRDefault="00000000">
            <w:r>
              <w:rPr>
                <w:sz w:val="19"/>
                <w:szCs w:val="19"/>
              </w:rPr>
              <w:t>40–60 mg methylprednisolone or 40 mg triamcinolone acetonide. Attempt aspiration first.</w:t>
            </w:r>
          </w:p>
        </w:tc>
      </w:tr>
      <w:tr w:rsidR="00390AE2" w14:paraId="5D778BF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0981DEF" w14:textId="77777777" w:rsidR="00390AE2" w:rsidRDefault="00000000">
            <w:r>
              <w:rPr>
                <w:b/>
                <w:bCs/>
                <w:color w:val="1B3A52"/>
                <w:sz w:val="19"/>
                <w:szCs w:val="19"/>
              </w:rPr>
              <w:t>Patient position</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6C13769" w14:textId="77777777" w:rsidR="00390AE2" w:rsidRDefault="00000000">
            <w:r>
              <w:rPr>
                <w:sz w:val="19"/>
                <w:szCs w:val="19"/>
              </w:rPr>
              <w:t>Seated with armrest support. An assistant must be present. Warn about vasovagal syncope. If any fainting history, use posterior approach only.</w:t>
            </w:r>
          </w:p>
        </w:tc>
      </w:tr>
      <w:tr w:rsidR="00390AE2" w14:paraId="0582F2F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E414DE2" w14:textId="77777777" w:rsidR="00390AE2" w:rsidRDefault="00000000">
            <w:r>
              <w:rPr>
                <w:b/>
                <w:bCs/>
                <w:color w:val="1B3A52"/>
                <w:sz w:val="19"/>
                <w:szCs w:val="19"/>
              </w:rPr>
              <w:t>Posterior approach (preferred)</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3A55B80F" w14:textId="77777777" w:rsidR="00390AE2" w:rsidRDefault="00000000">
            <w:r>
              <w:rPr>
                <w:sz w:val="19"/>
                <w:szCs w:val="19"/>
              </w:rPr>
              <w:t>Palpate the posterior acromion margin. Insert 1 cm below and 1 cm medial to its posterior corner. Direct anteriorly and medially towards the coracoid process until bone contact at the articular space.</w:t>
            </w:r>
          </w:p>
        </w:tc>
      </w:tr>
      <w:tr w:rsidR="00390AE2" w14:paraId="5ECAA68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BAEB2B7" w14:textId="77777777" w:rsidR="00390AE2" w:rsidRDefault="00000000">
            <w:r>
              <w:rPr>
                <w:b/>
                <w:bCs/>
                <w:color w:val="1B3A52"/>
                <w:sz w:val="19"/>
                <w:szCs w:val="19"/>
              </w:rPr>
              <w:t>Anterior 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80ABB92" w14:textId="77777777" w:rsidR="00390AE2" w:rsidRDefault="00000000">
            <w:r>
              <w:rPr>
                <w:sz w:val="19"/>
                <w:szCs w:val="19"/>
              </w:rPr>
              <w:t>Patient seated, arm at side, elbow 90°, forearm in sagittal plane. Enter 1 cm distal and 1 cm lateral to the coracoid process. Inject lidocaine incrementally. Once bone is touched, gently internally rotate the forearm to advance the needle into the joint.</w:t>
            </w:r>
          </w:p>
        </w:tc>
      </w:tr>
      <w:tr w:rsidR="00390AE2" w14:paraId="00E33BE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F62943B"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23DD6E75" w14:textId="77777777" w:rsidR="00390AE2" w:rsidRDefault="00000000">
            <w:r>
              <w:rPr>
                <w:sz w:val="19"/>
                <w:szCs w:val="19"/>
              </w:rPr>
              <w:t>The posterior approach avoids major neurovascular structures. Anterior misplacement risks the axillary vessels and brachial plexus.</w:t>
            </w:r>
          </w:p>
        </w:tc>
      </w:tr>
      <w:tr w:rsidR="00390AE2" w14:paraId="02E3B3C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87CAAC9"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51B0B384" w14:textId="77777777" w:rsidR="00390AE2" w:rsidRDefault="00000000">
            <w:r>
              <w:rPr>
                <w:sz w:val="19"/>
                <w:szCs w:val="19"/>
              </w:rPr>
              <w:t>Vasovagal syncope. Always have an assistant and safe seating.</w:t>
            </w:r>
          </w:p>
        </w:tc>
      </w:tr>
    </w:tbl>
    <w:p w14:paraId="7474626E" w14:textId="77777777" w:rsidR="00390AE2" w:rsidRDefault="00000000">
      <w:pPr>
        <w:spacing w:before="120" w:after="60"/>
        <w:jc w:val="center"/>
      </w:pPr>
      <w:r>
        <w:rPr>
          <w:noProof/>
        </w:rPr>
        <w:drawing>
          <wp:inline distT="0" distB="0" distL="0" distR="0" wp14:anchorId="668535E1" wp14:editId="27C3D6DE">
            <wp:extent cx="3684418" cy="3933825"/>
            <wp:effectExtent l="0" t="0" r="0" b="0"/>
            <wp:docPr id="1434844425" name="fig12_glenohumeral_posterior.png" descr="Fig. 12  Glenohumeral joint — posterior approach" title="Fig. 12  Glenohumeral joint — posterior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3693048" cy="3943040"/>
                    </a:xfrm>
                    <a:prstGeom prst="rect">
                      <a:avLst/>
                    </a:prstGeom>
                  </pic:spPr>
                </pic:pic>
              </a:graphicData>
            </a:graphic>
          </wp:inline>
        </w:drawing>
      </w:r>
    </w:p>
    <w:p w14:paraId="2FF11C50"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12  Glenohumeral</w:t>
      </w:r>
      <w:proofErr w:type="gramEnd"/>
      <w:r>
        <w:rPr>
          <w:i/>
          <w:iCs/>
          <w:color w:val="6B7280"/>
          <w:sz w:val="18"/>
          <w:szCs w:val="18"/>
        </w:rPr>
        <w:t xml:space="preserve"> joint — posterior approach</w:t>
      </w:r>
    </w:p>
    <w:p w14:paraId="4FD7E754" w14:textId="77777777" w:rsidR="00390AE2" w:rsidRDefault="00000000">
      <w:pPr>
        <w:spacing w:before="120" w:after="60"/>
        <w:jc w:val="center"/>
      </w:pPr>
      <w:r>
        <w:rPr>
          <w:noProof/>
        </w:rPr>
        <w:lastRenderedPageBreak/>
        <w:drawing>
          <wp:inline distT="0" distB="0" distL="0" distR="0" wp14:anchorId="4B16B237" wp14:editId="5DBF3D28">
            <wp:extent cx="3725598" cy="4252913"/>
            <wp:effectExtent l="0" t="0" r="8255" b="0"/>
            <wp:docPr id="723629291" name="fig13_glenohumeral_anterior.png" descr="Fig. 13  Glenohumeral joint — anterior approach" title="Fig. 13  Glenohumeral joint — anterior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3734585" cy="4263172"/>
                    </a:xfrm>
                    <a:prstGeom prst="rect">
                      <a:avLst/>
                    </a:prstGeom>
                  </pic:spPr>
                </pic:pic>
              </a:graphicData>
            </a:graphic>
          </wp:inline>
        </w:drawing>
      </w:r>
    </w:p>
    <w:p w14:paraId="28D2592F"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13  Glenohumeral</w:t>
      </w:r>
      <w:proofErr w:type="gramEnd"/>
      <w:r>
        <w:rPr>
          <w:i/>
          <w:iCs/>
          <w:color w:val="6B7280"/>
          <w:sz w:val="18"/>
          <w:szCs w:val="18"/>
        </w:rPr>
        <w:t xml:space="preserve"> joint — anterior approach</w:t>
      </w:r>
    </w:p>
    <w:p w14:paraId="28B4277C"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2275C7F7"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225B777F" w14:textId="77777777" w:rsidR="00390AE2" w:rsidRDefault="00000000">
            <w:pPr>
              <w:spacing w:after="80"/>
            </w:pPr>
            <w:r>
              <w:rPr>
                <w:b/>
                <w:bCs/>
                <w:color w:val="166534"/>
                <w:sz w:val="18"/>
                <w:szCs w:val="18"/>
              </w:rPr>
              <w:t>CLINICAL NOTE</w:t>
            </w:r>
          </w:p>
          <w:p w14:paraId="2A040680" w14:textId="77777777" w:rsidR="00390AE2" w:rsidRDefault="00000000">
            <w:pPr>
              <w:spacing w:after="50"/>
            </w:pPr>
            <w:r>
              <w:rPr>
                <w:color w:val="166534"/>
                <w:sz w:val="19"/>
                <w:szCs w:val="19"/>
              </w:rPr>
              <w:t>A dry tap in acute glenohumeral arthritis is common. If aspiration is essential for diagnosis, repeat under ultrasound or fluoroscopic guidance.</w:t>
            </w:r>
          </w:p>
          <w:p w14:paraId="777A1B49" w14:textId="77777777" w:rsidR="00390AE2" w:rsidRDefault="00000000">
            <w:pPr>
              <w:spacing w:after="50"/>
            </w:pPr>
            <w:r>
              <w:rPr>
                <w:color w:val="166534"/>
                <w:sz w:val="19"/>
                <w:szCs w:val="19"/>
              </w:rPr>
              <w:t>In frozen shoulder, the contracted capsule makes injection technically difficult. Ultrasound guidance significantly improves accuracy.</w:t>
            </w:r>
          </w:p>
        </w:tc>
      </w:tr>
    </w:tbl>
    <w:p w14:paraId="1B851FBB" w14:textId="77777777" w:rsidR="00390AE2" w:rsidRDefault="00390AE2">
      <w:pPr>
        <w:spacing w:before="60"/>
      </w:pPr>
    </w:p>
    <w:p w14:paraId="5D1F09F8" w14:textId="77777777" w:rsidR="00390AE2" w:rsidRDefault="00000000">
      <w:pPr>
        <w:pBdr>
          <w:bottom w:val="single" w:sz="6" w:space="3" w:color="0B8A8A"/>
        </w:pBdr>
        <w:spacing w:before="240" w:after="80"/>
      </w:pPr>
      <w:r>
        <w:rPr>
          <w:b/>
          <w:bCs/>
          <w:color w:val="1B3A52"/>
          <w:sz w:val="23"/>
          <w:szCs w:val="23"/>
        </w:rPr>
        <w:t>Subacromial Bursa</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2879E65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ACE6269"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2AA21E87" w14:textId="77777777" w:rsidR="00390AE2" w:rsidRDefault="00000000">
            <w:r>
              <w:rPr>
                <w:sz w:val="19"/>
                <w:szCs w:val="19"/>
              </w:rPr>
              <w:t>Subacromial impingement syndrome; calcific tendinitis of the rotator cuff.</w:t>
            </w:r>
          </w:p>
        </w:tc>
      </w:tr>
      <w:tr w:rsidR="00390AE2" w14:paraId="4527DA7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786E535"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D140C47" w14:textId="77777777" w:rsidR="00390AE2" w:rsidRDefault="00000000">
            <w:r>
              <w:rPr>
                <w:sz w:val="19"/>
                <w:szCs w:val="19"/>
              </w:rPr>
              <w:t>22–25 gauge</w:t>
            </w:r>
          </w:p>
        </w:tc>
      </w:tr>
      <w:tr w:rsidR="00390AE2" w14:paraId="6EC87DF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4F48C1A"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4AF93DE" w14:textId="77777777" w:rsidR="00390AE2" w:rsidRDefault="00000000">
            <w:r>
              <w:rPr>
                <w:sz w:val="19"/>
                <w:szCs w:val="19"/>
              </w:rPr>
              <w:t>30–40 mg methylprednisolone</w:t>
            </w:r>
          </w:p>
        </w:tc>
      </w:tr>
      <w:tr w:rsidR="00390AE2" w14:paraId="409EEA8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C966B04" w14:textId="77777777" w:rsidR="00390AE2" w:rsidRDefault="00000000">
            <w:r>
              <w:rPr>
                <w:b/>
                <w:bCs/>
                <w:color w:val="1B3A52"/>
                <w:sz w:val="19"/>
                <w:szCs w:val="19"/>
              </w:rPr>
              <w:t>Patient position</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5194481A" w14:textId="77777777" w:rsidR="00390AE2" w:rsidRDefault="00000000">
            <w:r>
              <w:rPr>
                <w:sz w:val="19"/>
                <w:szCs w:val="19"/>
              </w:rPr>
              <w:t>Seated with armrest. Assistant present. Watch for fainting.</w:t>
            </w:r>
          </w:p>
        </w:tc>
      </w:tr>
      <w:tr w:rsidR="00390AE2" w14:paraId="58F540B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B9747A2" w14:textId="77777777" w:rsidR="00390AE2" w:rsidRDefault="00000000">
            <w:r>
              <w:rPr>
                <w:b/>
                <w:bCs/>
                <w:color w:val="1B3A52"/>
                <w:sz w:val="19"/>
                <w:szCs w:val="19"/>
              </w:rPr>
              <w:t>Posterolateral 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5A3D37D" w14:textId="77777777" w:rsidR="00390AE2" w:rsidRDefault="00000000">
            <w:r>
              <w:rPr>
                <w:sz w:val="19"/>
                <w:szCs w:val="19"/>
              </w:rPr>
              <w:t>Ask the patient to relax the shoulder. Direct the needle anteromedially under the acromion. Easy flow of injectate confirms bursal location.</w:t>
            </w:r>
          </w:p>
        </w:tc>
      </w:tr>
      <w:tr w:rsidR="00390AE2" w14:paraId="18AC350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3C1AD29" w14:textId="77777777" w:rsidR="00390AE2" w:rsidRDefault="00000000">
            <w:r>
              <w:rPr>
                <w:b/>
                <w:bCs/>
                <w:color w:val="1B3A52"/>
                <w:sz w:val="19"/>
                <w:szCs w:val="19"/>
              </w:rPr>
              <w:t>Anterior 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81CEC90" w14:textId="77777777" w:rsidR="00390AE2" w:rsidRDefault="00000000">
            <w:r>
              <w:rPr>
                <w:sz w:val="19"/>
                <w:szCs w:val="19"/>
              </w:rPr>
              <w:t>Infiltrate lidocaine first. Direct the needle posteriorly, flush with the inferior acromion surface, 1 cm lateral to the AC joint. Once the coracoacromial ligament is crossed, resistance drops. Easy flow confirms bursal placement.</w:t>
            </w:r>
          </w:p>
        </w:tc>
      </w:tr>
      <w:tr w:rsidR="00390AE2" w14:paraId="42D6F3C3"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17AB917"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7C1B6AA3" w14:textId="77777777" w:rsidR="00390AE2" w:rsidRDefault="00000000">
            <w:proofErr w:type="gramStart"/>
            <w:r>
              <w:rPr>
                <w:sz w:val="19"/>
                <w:szCs w:val="19"/>
              </w:rPr>
              <w:t>None significant</w:t>
            </w:r>
            <w:proofErr w:type="gramEnd"/>
            <w:r>
              <w:rPr>
                <w:sz w:val="19"/>
                <w:szCs w:val="19"/>
              </w:rPr>
              <w:t>.</w:t>
            </w:r>
          </w:p>
        </w:tc>
      </w:tr>
    </w:tbl>
    <w:p w14:paraId="4B52661E" w14:textId="77777777" w:rsidR="00390AE2" w:rsidRDefault="00000000">
      <w:pPr>
        <w:spacing w:before="120" w:after="60"/>
        <w:jc w:val="center"/>
      </w:pPr>
      <w:r>
        <w:rPr>
          <w:noProof/>
        </w:rPr>
        <w:lastRenderedPageBreak/>
        <w:drawing>
          <wp:inline distT="0" distB="0" distL="0" distR="0" wp14:anchorId="182ABF13" wp14:editId="3AF10016">
            <wp:extent cx="3095625" cy="3600450"/>
            <wp:effectExtent l="0" t="0" r="0" b="0"/>
            <wp:docPr id="1947823834" name="fig14_subacromial_posterolateral.png" descr="Fig. 14  Subacromial bursa — posterolateral approach" title="Fig. 14  Subacromial bursa — posterolateral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3095625" cy="3600450"/>
                    </a:xfrm>
                    <a:prstGeom prst="rect">
                      <a:avLst/>
                    </a:prstGeom>
                  </pic:spPr>
                </pic:pic>
              </a:graphicData>
            </a:graphic>
          </wp:inline>
        </w:drawing>
      </w:r>
    </w:p>
    <w:p w14:paraId="3324646A"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14  Subacromial</w:t>
      </w:r>
      <w:proofErr w:type="gramEnd"/>
      <w:r>
        <w:rPr>
          <w:i/>
          <w:iCs/>
          <w:color w:val="6B7280"/>
          <w:sz w:val="18"/>
          <w:szCs w:val="18"/>
        </w:rPr>
        <w:t xml:space="preserve"> bursa — posterolateral approach</w:t>
      </w:r>
    </w:p>
    <w:p w14:paraId="162D1658" w14:textId="77777777" w:rsidR="00390AE2" w:rsidRDefault="00000000">
      <w:pPr>
        <w:spacing w:before="120" w:after="60"/>
        <w:jc w:val="center"/>
      </w:pPr>
      <w:r>
        <w:rPr>
          <w:noProof/>
        </w:rPr>
        <w:drawing>
          <wp:inline distT="0" distB="0" distL="0" distR="0" wp14:anchorId="4A9D3112" wp14:editId="0B705AA8">
            <wp:extent cx="3095625" cy="3695700"/>
            <wp:effectExtent l="0" t="0" r="0" b="0"/>
            <wp:docPr id="1481704954" name="fig15_subacromial_anterior.png" descr="Fig. 15  Subacromial bursa — anterior approach" title="Fig. 15  Subacromial bursa — anterior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3095625" cy="3695700"/>
                    </a:xfrm>
                    <a:prstGeom prst="rect">
                      <a:avLst/>
                    </a:prstGeom>
                  </pic:spPr>
                </pic:pic>
              </a:graphicData>
            </a:graphic>
          </wp:inline>
        </w:drawing>
      </w:r>
    </w:p>
    <w:p w14:paraId="5ABEEDA8"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15  Subacromial</w:t>
      </w:r>
      <w:proofErr w:type="gramEnd"/>
      <w:r>
        <w:rPr>
          <w:i/>
          <w:iCs/>
          <w:color w:val="6B7280"/>
          <w:sz w:val="18"/>
          <w:szCs w:val="18"/>
        </w:rPr>
        <w:t xml:space="preserve"> bursa — anterior approach</w:t>
      </w:r>
    </w:p>
    <w:p w14:paraId="69B02F01"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543AFD71"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27082590" w14:textId="77777777" w:rsidR="00390AE2" w:rsidRDefault="00000000">
            <w:pPr>
              <w:spacing w:after="80"/>
            </w:pPr>
            <w:r>
              <w:rPr>
                <w:b/>
                <w:bCs/>
                <w:color w:val="166534"/>
                <w:sz w:val="18"/>
                <w:szCs w:val="18"/>
              </w:rPr>
              <w:t>CLINICAL NOTE</w:t>
            </w:r>
          </w:p>
          <w:p w14:paraId="7E95C3E0" w14:textId="77777777" w:rsidR="00390AE2" w:rsidRDefault="00000000">
            <w:pPr>
              <w:spacing w:after="50"/>
            </w:pPr>
            <w:r>
              <w:rPr>
                <w:color w:val="166534"/>
                <w:sz w:val="19"/>
                <w:szCs w:val="19"/>
              </w:rPr>
              <w:t>Only ~50% of landmark-guided subacromial injections accurately enter the bursal sac — yet clinical outcomes are often still good.</w:t>
            </w:r>
          </w:p>
          <w:p w14:paraId="52885BEA" w14:textId="77777777" w:rsidR="00390AE2" w:rsidRDefault="00000000">
            <w:pPr>
              <w:spacing w:after="50"/>
            </w:pPr>
            <w:r>
              <w:rPr>
                <w:color w:val="166534"/>
                <w:sz w:val="19"/>
                <w:szCs w:val="19"/>
              </w:rPr>
              <w:t>Consider referral for ultrasound-guided injection when landmark-guided attempts have failed or the patient is obese.</w:t>
            </w:r>
          </w:p>
        </w:tc>
      </w:tr>
    </w:tbl>
    <w:p w14:paraId="7619C54B" w14:textId="77777777" w:rsidR="00390AE2" w:rsidRDefault="00390AE2">
      <w:pPr>
        <w:spacing w:before="60"/>
      </w:pPr>
    </w:p>
    <w:p w14:paraId="55B2C801" w14:textId="77777777" w:rsidR="00390AE2" w:rsidRDefault="00000000">
      <w:pPr>
        <w:pBdr>
          <w:bottom w:val="single" w:sz="6" w:space="3" w:color="0B8A8A"/>
        </w:pBdr>
        <w:spacing w:before="240" w:after="80"/>
      </w:pPr>
      <w:r>
        <w:rPr>
          <w:b/>
          <w:bCs/>
          <w:color w:val="1B3A52"/>
          <w:sz w:val="23"/>
          <w:szCs w:val="23"/>
        </w:rPr>
        <w:lastRenderedPageBreak/>
        <w:t>Acromioclavicular (AC) Joint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1361944D"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6AFAEA5"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CCBD970" w14:textId="77777777" w:rsidR="00390AE2" w:rsidRDefault="00000000">
            <w:r>
              <w:rPr>
                <w:sz w:val="19"/>
                <w:szCs w:val="19"/>
              </w:rPr>
              <w:t>Acute arthritis; OA, RA, spondyloarthropathy.</w:t>
            </w:r>
          </w:p>
        </w:tc>
      </w:tr>
      <w:tr w:rsidR="00390AE2" w14:paraId="2733571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183160E"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CF1E6E3" w14:textId="77777777" w:rsidR="00390AE2" w:rsidRDefault="00000000">
            <w:proofErr w:type="gramStart"/>
            <w:r>
              <w:rPr>
                <w:sz w:val="19"/>
                <w:szCs w:val="19"/>
              </w:rPr>
              <w:t>23 gauge</w:t>
            </w:r>
            <w:proofErr w:type="gramEnd"/>
            <w:r>
              <w:rPr>
                <w:sz w:val="19"/>
                <w:szCs w:val="19"/>
              </w:rPr>
              <w:t xml:space="preserve"> butterfly or 22 gauge</w:t>
            </w:r>
          </w:p>
        </w:tc>
      </w:tr>
      <w:tr w:rsidR="00390AE2" w14:paraId="0DB89FE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7A1429B"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00851D10" w14:textId="77777777" w:rsidR="00390AE2" w:rsidRDefault="00000000">
            <w:r>
              <w:rPr>
                <w:sz w:val="19"/>
                <w:szCs w:val="19"/>
              </w:rPr>
              <w:t>10–20 mg methylprednisolone. Aspirate first.</w:t>
            </w:r>
          </w:p>
        </w:tc>
      </w:tr>
      <w:tr w:rsidR="00390AE2" w14:paraId="2CBF6CD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EDAC6B1"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A0569FA" w14:textId="77777777" w:rsidR="00390AE2" w:rsidRDefault="00000000">
            <w:r>
              <w:rPr>
                <w:sz w:val="19"/>
                <w:szCs w:val="19"/>
              </w:rPr>
              <w:t>Aim perpendicular to the articular cleft. Advance 0.5 cm. Aspirate, then inject to distend the joint.</w:t>
            </w:r>
          </w:p>
        </w:tc>
      </w:tr>
      <w:tr w:rsidR="00390AE2" w14:paraId="2AF497F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6BE7554"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3A7E478" w14:textId="77777777" w:rsidR="00390AE2" w:rsidRDefault="00000000">
            <w:r>
              <w:rPr>
                <w:sz w:val="19"/>
                <w:szCs w:val="19"/>
              </w:rPr>
              <w:t>The AC joint is narrow with a partial meniscus — technically demanding. Exclude septic AC arthritis in IV drug users and patients with recent subclavian catheters.</w:t>
            </w:r>
          </w:p>
        </w:tc>
      </w:tr>
      <w:tr w:rsidR="00390AE2" w14:paraId="2B5B438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4771722"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7BF2780" w14:textId="77777777" w:rsidR="00390AE2" w:rsidRDefault="00000000">
            <w:r>
              <w:rPr>
                <w:sz w:val="19"/>
                <w:szCs w:val="19"/>
              </w:rPr>
              <w:t>None, if sepsis excluded.</w:t>
            </w:r>
          </w:p>
        </w:tc>
      </w:tr>
    </w:tbl>
    <w:p w14:paraId="673A4657" w14:textId="77777777" w:rsidR="00390AE2" w:rsidRDefault="00390AE2">
      <w:pPr>
        <w:spacing w:before="60"/>
      </w:pPr>
    </w:p>
    <w:p w14:paraId="41A96F91" w14:textId="77777777" w:rsidR="00390AE2" w:rsidRDefault="00000000">
      <w:pPr>
        <w:pBdr>
          <w:bottom w:val="single" w:sz="6" w:space="3" w:color="0B8A8A"/>
        </w:pBdr>
        <w:spacing w:before="240" w:after="80"/>
      </w:pPr>
      <w:r>
        <w:rPr>
          <w:b/>
          <w:bCs/>
          <w:color w:val="1B3A52"/>
          <w:sz w:val="23"/>
          <w:szCs w:val="23"/>
        </w:rPr>
        <w:t>Bicipital Tendinitis</w:t>
      </w:r>
    </w:p>
    <w:tbl>
      <w:tblPr>
        <w:tblW w:w="9746" w:type="dxa"/>
        <w:tblBorders>
          <w:top w:val="single" w:sz="12" w:space="0" w:color="9B1C1C"/>
          <w:left w:val="single" w:sz="28" w:space="0" w:color="9B1C1C"/>
          <w:bottom w:val="single" w:sz="12" w:space="0" w:color="9B1C1C"/>
          <w:right w:val="single" w:sz="12" w:space="0" w:color="9B1C1C"/>
        </w:tblBorders>
        <w:tblCellMar>
          <w:top w:w="140" w:type="dxa"/>
          <w:left w:w="220" w:type="dxa"/>
          <w:bottom w:w="140" w:type="dxa"/>
          <w:right w:w="220" w:type="dxa"/>
        </w:tblCellMar>
        <w:tblLook w:val="04A0" w:firstRow="1" w:lastRow="0" w:firstColumn="1" w:lastColumn="0" w:noHBand="0" w:noVBand="1"/>
      </w:tblPr>
      <w:tblGrid>
        <w:gridCol w:w="9746"/>
      </w:tblGrid>
      <w:tr w:rsidR="00390AE2" w14:paraId="312E4EFE" w14:textId="77777777">
        <w:tc>
          <w:tcPr>
            <w:tcW w:w="9746" w:type="dxa"/>
            <w:shd w:val="clear" w:color="auto" w:fill="FEE2E2"/>
          </w:tcPr>
          <w:p w14:paraId="1C29E019" w14:textId="77777777" w:rsidR="00390AE2" w:rsidRDefault="00000000">
            <w:pPr>
              <w:spacing w:after="80"/>
            </w:pPr>
            <w:proofErr w:type="gramStart"/>
            <w:r>
              <w:rPr>
                <w:b/>
                <w:caps/>
                <w:color w:val="9B1C1C"/>
                <w:sz w:val="18"/>
                <w:szCs w:val="18"/>
              </w:rPr>
              <w:t>🚫  NOT</w:t>
            </w:r>
            <w:proofErr w:type="gramEnd"/>
            <w:r>
              <w:rPr>
                <w:b/>
                <w:caps/>
                <w:color w:val="9B1C1C"/>
                <w:sz w:val="18"/>
                <w:szCs w:val="18"/>
              </w:rPr>
              <w:t xml:space="preserve"> RECOMMENDED IN PRIMARY CARE — SPECIALIST REFERRAL REQUIRED</w:t>
            </w:r>
          </w:p>
          <w:p w14:paraId="0CE8D458" w14:textId="0FEAB4DF" w:rsidR="00390AE2" w:rsidRDefault="00000000">
            <w:pPr>
              <w:spacing w:after="50"/>
            </w:pPr>
            <w:r>
              <w:rPr>
                <w:color w:val="9B1C1C"/>
                <w:sz w:val="19"/>
                <w:szCs w:val="19"/>
              </w:rPr>
              <w:t>Bicipital tendon / bicipital groove injection is NO LONGER RECOMMENDED as a</w:t>
            </w:r>
            <w:r w:rsidR="00014114">
              <w:rPr>
                <w:color w:val="9B1C1C"/>
                <w:sz w:val="19"/>
                <w:szCs w:val="19"/>
              </w:rPr>
              <w:t xml:space="preserve"> </w:t>
            </w:r>
            <w:r>
              <w:rPr>
                <w:color w:val="9B1C1C"/>
                <w:sz w:val="19"/>
                <w:szCs w:val="19"/>
              </w:rPr>
              <w:t>primary care procedure.</w:t>
            </w:r>
          </w:p>
          <w:p w14:paraId="5B26DD1A" w14:textId="77777777" w:rsidR="00390AE2" w:rsidRDefault="00390AE2">
            <w:pPr>
              <w:spacing w:after="50"/>
            </w:pPr>
          </w:p>
          <w:p w14:paraId="7CFD23EE" w14:textId="77777777" w:rsidR="00390AE2" w:rsidRDefault="00000000">
            <w:pPr>
              <w:spacing w:after="50"/>
            </w:pPr>
            <w:r>
              <w:rPr>
                <w:color w:val="9B1C1C"/>
                <w:sz w:val="19"/>
                <w:szCs w:val="19"/>
              </w:rPr>
              <w:t>WHY:</w:t>
            </w:r>
          </w:p>
          <w:p w14:paraId="569394EB" w14:textId="3F80AC21" w:rsidR="00390AE2" w:rsidRDefault="00000000">
            <w:pPr>
              <w:spacing w:after="50"/>
            </w:pPr>
            <w:r>
              <w:rPr>
                <w:color w:val="9B1C1C"/>
                <w:sz w:val="19"/>
                <w:szCs w:val="19"/>
              </w:rPr>
              <w:t xml:space="preserve">  </w:t>
            </w:r>
            <w:proofErr w:type="gramStart"/>
            <w:r>
              <w:rPr>
                <w:color w:val="9B1C1C"/>
                <w:sz w:val="19"/>
                <w:szCs w:val="19"/>
              </w:rPr>
              <w:t>▸  Direct</w:t>
            </w:r>
            <w:proofErr w:type="gramEnd"/>
            <w:r>
              <w:rPr>
                <w:color w:val="9B1C1C"/>
                <w:sz w:val="19"/>
                <w:szCs w:val="19"/>
              </w:rPr>
              <w:t xml:space="preserve"> or peritendinous corticosteroid injection near the </w:t>
            </w:r>
            <w:proofErr w:type="gramStart"/>
            <w:r>
              <w:rPr>
                <w:color w:val="9B1C1C"/>
                <w:sz w:val="19"/>
                <w:szCs w:val="19"/>
              </w:rPr>
              <w:t>biceps</w:t>
            </w:r>
            <w:proofErr w:type="gramEnd"/>
            <w:r>
              <w:rPr>
                <w:color w:val="9B1C1C"/>
                <w:sz w:val="19"/>
                <w:szCs w:val="19"/>
              </w:rPr>
              <w:t xml:space="preserve"> tendon carries</w:t>
            </w:r>
            <w:r w:rsidR="00014114">
              <w:rPr>
                <w:color w:val="9B1C1C"/>
                <w:sz w:val="19"/>
                <w:szCs w:val="19"/>
              </w:rPr>
              <w:t xml:space="preserve"> </w:t>
            </w:r>
            <w:r>
              <w:rPr>
                <w:color w:val="9B1C1C"/>
                <w:sz w:val="19"/>
                <w:szCs w:val="19"/>
              </w:rPr>
              <w:t>a high and documented risk of biceps tendon rupture.</w:t>
            </w:r>
          </w:p>
          <w:p w14:paraId="6F02FD57" w14:textId="620ED67E" w:rsidR="00390AE2" w:rsidRDefault="00000000">
            <w:pPr>
              <w:spacing w:after="50"/>
            </w:pPr>
            <w:r>
              <w:rPr>
                <w:color w:val="9B1C1C"/>
                <w:sz w:val="19"/>
                <w:szCs w:val="19"/>
              </w:rPr>
              <w:t xml:space="preserve">  </w:t>
            </w:r>
            <w:proofErr w:type="gramStart"/>
            <w:r>
              <w:rPr>
                <w:color w:val="9B1C1C"/>
                <w:sz w:val="19"/>
                <w:szCs w:val="19"/>
              </w:rPr>
              <w:t>▸  The</w:t>
            </w:r>
            <w:proofErr w:type="gramEnd"/>
            <w:r>
              <w:rPr>
                <w:color w:val="9B1C1C"/>
                <w:sz w:val="19"/>
                <w:szCs w:val="19"/>
              </w:rPr>
              <w:t xml:space="preserve"> biceps tendon is frequently structurally compromised by the underlying subacromial impingement that causes most bicipital pain. Any injection at this</w:t>
            </w:r>
            <w:r w:rsidR="00014114">
              <w:rPr>
                <w:color w:val="9B1C1C"/>
                <w:sz w:val="19"/>
                <w:szCs w:val="19"/>
              </w:rPr>
              <w:t xml:space="preserve"> </w:t>
            </w:r>
            <w:r>
              <w:rPr>
                <w:color w:val="9B1C1C"/>
                <w:sz w:val="19"/>
                <w:szCs w:val="19"/>
              </w:rPr>
              <w:t>site significantly increases the risk of tendon failure.</w:t>
            </w:r>
          </w:p>
          <w:p w14:paraId="6E082FC2" w14:textId="2A610513" w:rsidR="00390AE2" w:rsidRDefault="00000000">
            <w:pPr>
              <w:spacing w:after="50"/>
            </w:pPr>
            <w:r>
              <w:rPr>
                <w:color w:val="9B1C1C"/>
                <w:sz w:val="19"/>
                <w:szCs w:val="19"/>
              </w:rPr>
              <w:t xml:space="preserve">  </w:t>
            </w:r>
            <w:proofErr w:type="gramStart"/>
            <w:r>
              <w:rPr>
                <w:color w:val="9B1C1C"/>
                <w:sz w:val="19"/>
                <w:szCs w:val="19"/>
              </w:rPr>
              <w:t>▸  The</w:t>
            </w:r>
            <w:proofErr w:type="gramEnd"/>
            <w:r>
              <w:rPr>
                <w:color w:val="9B1C1C"/>
                <w:sz w:val="19"/>
                <w:szCs w:val="19"/>
              </w:rPr>
              <w:t xml:space="preserve"> NHS PGD for corticosteroid injection (2023) lists direct tendon injection as an absolute contraindication.</w:t>
            </w:r>
          </w:p>
          <w:p w14:paraId="4B1D27DA" w14:textId="77777777" w:rsidR="00390AE2" w:rsidRDefault="00000000">
            <w:pPr>
              <w:spacing w:after="50"/>
            </w:pPr>
            <w:r>
              <w:rPr>
                <w:color w:val="9B1C1C"/>
                <w:sz w:val="19"/>
                <w:szCs w:val="19"/>
              </w:rPr>
              <w:t xml:space="preserve">  </w:t>
            </w:r>
            <w:proofErr w:type="gramStart"/>
            <w:r>
              <w:rPr>
                <w:color w:val="9B1C1C"/>
                <w:sz w:val="19"/>
                <w:szCs w:val="19"/>
              </w:rPr>
              <w:t>▸  Blind</w:t>
            </w:r>
            <w:proofErr w:type="gramEnd"/>
            <w:r>
              <w:rPr>
                <w:color w:val="9B1C1C"/>
                <w:sz w:val="19"/>
                <w:szCs w:val="19"/>
              </w:rPr>
              <w:t xml:space="preserve"> peritendinous placement cannot be reliably confirmed without ultrasound.</w:t>
            </w:r>
          </w:p>
          <w:p w14:paraId="388EB222" w14:textId="77777777" w:rsidR="00390AE2" w:rsidRDefault="00390AE2">
            <w:pPr>
              <w:spacing w:after="50"/>
            </w:pPr>
          </w:p>
          <w:p w14:paraId="55549752" w14:textId="77777777" w:rsidR="00390AE2" w:rsidRDefault="00000000">
            <w:pPr>
              <w:spacing w:after="50"/>
            </w:pPr>
            <w:r>
              <w:rPr>
                <w:color w:val="9B1C1C"/>
                <w:sz w:val="19"/>
                <w:szCs w:val="19"/>
              </w:rPr>
              <w:t>WHAT TO DO INSTEAD:</w:t>
            </w:r>
          </w:p>
          <w:p w14:paraId="4A417974" w14:textId="3FA6B642" w:rsidR="00390AE2" w:rsidRDefault="00000000">
            <w:pPr>
              <w:spacing w:after="50"/>
            </w:pPr>
            <w:r>
              <w:rPr>
                <w:color w:val="9B1C1C"/>
                <w:sz w:val="19"/>
                <w:szCs w:val="19"/>
              </w:rPr>
              <w:t xml:space="preserve">  </w:t>
            </w:r>
            <w:proofErr w:type="gramStart"/>
            <w:r>
              <w:rPr>
                <w:color w:val="9B1C1C"/>
                <w:sz w:val="19"/>
                <w:szCs w:val="19"/>
              </w:rPr>
              <w:t>▸  Most</w:t>
            </w:r>
            <w:proofErr w:type="gramEnd"/>
            <w:r>
              <w:rPr>
                <w:color w:val="9B1C1C"/>
                <w:sz w:val="19"/>
                <w:szCs w:val="19"/>
              </w:rPr>
              <w:t xml:space="preserve"> bicipital pain is caused by subacromial impingement — treat with subacromial</w:t>
            </w:r>
            <w:r w:rsidR="00014114">
              <w:rPr>
                <w:color w:val="9B1C1C"/>
                <w:sz w:val="19"/>
                <w:szCs w:val="19"/>
              </w:rPr>
              <w:t xml:space="preserve"> </w:t>
            </w:r>
            <w:r>
              <w:rPr>
                <w:color w:val="9B1C1C"/>
                <w:sz w:val="19"/>
                <w:szCs w:val="19"/>
              </w:rPr>
              <w:t>bursa injection (the correct and safer primary care procedure).</w:t>
            </w:r>
          </w:p>
          <w:p w14:paraId="5D08DAB7" w14:textId="3DF22FD7" w:rsidR="00390AE2" w:rsidRDefault="00000000">
            <w:pPr>
              <w:spacing w:after="50"/>
            </w:pPr>
            <w:r>
              <w:rPr>
                <w:color w:val="9B1C1C"/>
                <w:sz w:val="19"/>
                <w:szCs w:val="19"/>
              </w:rPr>
              <w:t xml:space="preserve">  </w:t>
            </w:r>
            <w:proofErr w:type="gramStart"/>
            <w:r>
              <w:rPr>
                <w:color w:val="9B1C1C"/>
                <w:sz w:val="19"/>
                <w:szCs w:val="19"/>
              </w:rPr>
              <w:t>▸  If</w:t>
            </w:r>
            <w:proofErr w:type="gramEnd"/>
            <w:r>
              <w:rPr>
                <w:color w:val="9B1C1C"/>
                <w:sz w:val="19"/>
                <w:szCs w:val="19"/>
              </w:rPr>
              <w:t xml:space="preserve"> true bicipital tenosynovitis is confirmed on imaging, refer for ultrasound-guided peritendinous injection under specialist MSK or radiology supervision.</w:t>
            </w:r>
          </w:p>
          <w:p w14:paraId="37BB8D73" w14:textId="77777777" w:rsidR="00390AE2" w:rsidRDefault="00000000">
            <w:pPr>
              <w:spacing w:after="50"/>
            </w:pPr>
            <w:r>
              <w:rPr>
                <w:color w:val="9B1C1C"/>
                <w:sz w:val="19"/>
                <w:szCs w:val="19"/>
              </w:rPr>
              <w:t xml:space="preserve">  </w:t>
            </w:r>
            <w:proofErr w:type="gramStart"/>
            <w:r>
              <w:rPr>
                <w:color w:val="9B1C1C"/>
                <w:sz w:val="19"/>
                <w:szCs w:val="19"/>
              </w:rPr>
              <w:t>▸  Do</w:t>
            </w:r>
            <w:proofErr w:type="gramEnd"/>
            <w:r>
              <w:rPr>
                <w:color w:val="9B1C1C"/>
                <w:sz w:val="19"/>
                <w:szCs w:val="19"/>
              </w:rPr>
              <w:t xml:space="preserve"> NOT attempt this procedure blindly in primary care.</w:t>
            </w:r>
          </w:p>
        </w:tc>
      </w:tr>
    </w:tbl>
    <w:p w14:paraId="5899346C" w14:textId="77777777" w:rsidR="00390AE2" w:rsidRDefault="00390AE2">
      <w:pPr>
        <w:spacing w:before="60"/>
      </w:pPr>
    </w:p>
    <w:p w14:paraId="087CFE63" w14:textId="77777777" w:rsidR="00390AE2" w:rsidRDefault="00390AE2">
      <w:pPr>
        <w:spacing w:before="60"/>
      </w:pPr>
    </w:p>
    <w:p w14:paraId="3E37C5B3" w14:textId="0F220F38" w:rsidR="00014114" w:rsidRDefault="00014114">
      <w:r>
        <w:br w:type="page"/>
      </w:r>
    </w:p>
    <w:p w14:paraId="28AE8F18"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5E5A13CF"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7CA84488" w14:textId="77777777" w:rsidR="00390AE2" w:rsidRDefault="00000000">
            <w:r>
              <w:rPr>
                <w:b/>
                <w:bCs/>
                <w:color w:val="FFFFFF"/>
                <w:sz w:val="32"/>
                <w:szCs w:val="32"/>
              </w:rPr>
              <w:t>The Hip Region</w:t>
            </w:r>
          </w:p>
        </w:tc>
      </w:tr>
    </w:tbl>
    <w:p w14:paraId="40B6D686" w14:textId="77777777" w:rsidR="00390AE2" w:rsidRDefault="00390AE2">
      <w:pPr>
        <w:spacing w:before="40"/>
      </w:pPr>
    </w:p>
    <w:p w14:paraId="4150A2DA" w14:textId="77777777" w:rsidR="00390AE2" w:rsidRDefault="00000000">
      <w:pPr>
        <w:pBdr>
          <w:bottom w:val="single" w:sz="6" w:space="3" w:color="0B8A8A"/>
        </w:pBdr>
        <w:spacing w:before="240" w:after="80"/>
      </w:pPr>
      <w:r>
        <w:rPr>
          <w:b/>
          <w:bCs/>
          <w:color w:val="1B3A52"/>
          <w:sz w:val="23"/>
          <w:szCs w:val="23"/>
        </w:rPr>
        <w:t>Hip Joint</w:t>
      </w:r>
    </w:p>
    <w:tbl>
      <w:tblPr>
        <w:tblW w:w="9746" w:type="dxa"/>
        <w:tblBorders>
          <w:top w:val="single" w:sz="12" w:space="0" w:color="9B1C1C"/>
          <w:left w:val="single" w:sz="28" w:space="0" w:color="9B1C1C"/>
          <w:bottom w:val="single" w:sz="12" w:space="0" w:color="9B1C1C"/>
          <w:right w:val="single" w:sz="12" w:space="0" w:color="9B1C1C"/>
        </w:tblBorders>
        <w:tblCellMar>
          <w:top w:w="140" w:type="dxa"/>
          <w:left w:w="220" w:type="dxa"/>
          <w:bottom w:w="140" w:type="dxa"/>
          <w:right w:w="220" w:type="dxa"/>
        </w:tblCellMar>
        <w:tblLook w:val="04A0" w:firstRow="1" w:lastRow="0" w:firstColumn="1" w:lastColumn="0" w:noHBand="0" w:noVBand="1"/>
      </w:tblPr>
      <w:tblGrid>
        <w:gridCol w:w="9746"/>
      </w:tblGrid>
      <w:tr w:rsidR="00390AE2" w14:paraId="566725F7" w14:textId="77777777">
        <w:tc>
          <w:tcPr>
            <w:tcW w:w="9746" w:type="dxa"/>
            <w:shd w:val="clear" w:color="auto" w:fill="FEE2E2"/>
          </w:tcPr>
          <w:p w14:paraId="4D846CAC" w14:textId="77777777" w:rsidR="00390AE2" w:rsidRDefault="00000000">
            <w:pPr>
              <w:spacing w:after="80"/>
            </w:pPr>
            <w:proofErr w:type="gramStart"/>
            <w:r>
              <w:rPr>
                <w:b/>
                <w:caps/>
                <w:color w:val="9B1C1C"/>
                <w:sz w:val="18"/>
                <w:szCs w:val="18"/>
              </w:rPr>
              <w:t>🚫  NOT</w:t>
            </w:r>
            <w:proofErr w:type="gramEnd"/>
            <w:r>
              <w:rPr>
                <w:b/>
                <w:caps/>
                <w:color w:val="9B1C1C"/>
                <w:sz w:val="18"/>
                <w:szCs w:val="18"/>
              </w:rPr>
              <w:t xml:space="preserve"> PERFORMED IN PRIMARY CARE — SPECIALIST REFERRAL REQUIRED</w:t>
            </w:r>
          </w:p>
          <w:p w14:paraId="6C49D667" w14:textId="77777777" w:rsidR="00390AE2" w:rsidRDefault="00000000">
            <w:pPr>
              <w:spacing w:after="50"/>
            </w:pPr>
            <w:r>
              <w:rPr>
                <w:color w:val="9B1C1C"/>
                <w:sz w:val="19"/>
                <w:szCs w:val="19"/>
              </w:rPr>
              <w:t>Hip joint aspiration must NOT be performed in primary care.</w:t>
            </w:r>
          </w:p>
          <w:p w14:paraId="67B3180A" w14:textId="77777777" w:rsidR="00390AE2" w:rsidRDefault="00390AE2">
            <w:pPr>
              <w:spacing w:after="50"/>
            </w:pPr>
          </w:p>
          <w:p w14:paraId="1ECA8734" w14:textId="12FA7A69" w:rsidR="00390AE2" w:rsidRDefault="00000000">
            <w:pPr>
              <w:spacing w:after="50"/>
            </w:pPr>
            <w:r>
              <w:rPr>
                <w:color w:val="9B1C1C"/>
                <w:sz w:val="19"/>
                <w:szCs w:val="19"/>
              </w:rPr>
              <w:t>WHY: The hip joint lies deep to the femoral neurovascular bundle. Blind needle</w:t>
            </w:r>
            <w:r w:rsidR="00014114">
              <w:rPr>
                <w:color w:val="9B1C1C"/>
                <w:sz w:val="19"/>
                <w:szCs w:val="19"/>
              </w:rPr>
              <w:t xml:space="preserve"> </w:t>
            </w:r>
            <w:r>
              <w:rPr>
                <w:color w:val="9B1C1C"/>
                <w:sz w:val="19"/>
                <w:szCs w:val="19"/>
              </w:rPr>
              <w:t>insertion risks injuring the femoral artery, femoral vein, or femoral nerve —</w:t>
            </w:r>
            <w:r w:rsidR="00014114">
              <w:rPr>
                <w:color w:val="9B1C1C"/>
                <w:sz w:val="19"/>
                <w:szCs w:val="19"/>
              </w:rPr>
              <w:t xml:space="preserve"> </w:t>
            </w:r>
            <w:r>
              <w:rPr>
                <w:color w:val="9B1C1C"/>
                <w:sz w:val="19"/>
                <w:szCs w:val="19"/>
              </w:rPr>
              <w:t>with potentially life-threatening or permanently disabling consequences.</w:t>
            </w:r>
          </w:p>
          <w:p w14:paraId="5AB18C70" w14:textId="77777777" w:rsidR="00390AE2" w:rsidRDefault="00390AE2">
            <w:pPr>
              <w:spacing w:after="50"/>
            </w:pPr>
          </w:p>
          <w:p w14:paraId="76A932BF" w14:textId="6B5E00A0" w:rsidR="00390AE2" w:rsidRDefault="00000000">
            <w:pPr>
              <w:spacing w:after="50"/>
            </w:pPr>
            <w:r>
              <w:rPr>
                <w:color w:val="9B1C1C"/>
                <w:sz w:val="19"/>
                <w:szCs w:val="19"/>
              </w:rPr>
              <w:t>Current UK standards mandate real-time imaging guidance (fluoroscopy, ultrasound,</w:t>
            </w:r>
            <w:r w:rsidR="00014114">
              <w:rPr>
                <w:color w:val="9B1C1C"/>
                <w:sz w:val="19"/>
                <w:szCs w:val="19"/>
              </w:rPr>
              <w:t xml:space="preserve"> </w:t>
            </w:r>
            <w:r>
              <w:rPr>
                <w:color w:val="9B1C1C"/>
                <w:sz w:val="19"/>
                <w:szCs w:val="19"/>
              </w:rPr>
              <w:t>or CT) to confirm intra-articular needle placement before any aspiration or injection.</w:t>
            </w:r>
            <w:r w:rsidR="00014114">
              <w:rPr>
                <w:color w:val="9B1C1C"/>
                <w:sz w:val="19"/>
                <w:szCs w:val="19"/>
              </w:rPr>
              <w:t xml:space="preserve"> </w:t>
            </w:r>
            <w:r>
              <w:rPr>
                <w:color w:val="9B1C1C"/>
                <w:sz w:val="19"/>
                <w:szCs w:val="19"/>
              </w:rPr>
              <w:t>This is a specialist orthopaedic and radiology procedure.</w:t>
            </w:r>
          </w:p>
          <w:p w14:paraId="540CC491" w14:textId="77777777" w:rsidR="00390AE2" w:rsidRDefault="00390AE2">
            <w:pPr>
              <w:spacing w:after="50"/>
            </w:pPr>
          </w:p>
          <w:p w14:paraId="42EE98C2" w14:textId="25922FC9" w:rsidR="00390AE2" w:rsidRDefault="00000000">
            <w:pPr>
              <w:spacing w:after="50"/>
            </w:pPr>
            <w:r>
              <w:rPr>
                <w:color w:val="9B1C1C"/>
                <w:sz w:val="19"/>
                <w:szCs w:val="19"/>
              </w:rPr>
              <w:t>WHAT TO DO: Refer urgently to orthopaedics or radiology for image-guided hip</w:t>
            </w:r>
            <w:r w:rsidR="00014114">
              <w:rPr>
                <w:color w:val="9B1C1C"/>
                <w:sz w:val="19"/>
                <w:szCs w:val="19"/>
              </w:rPr>
              <w:t xml:space="preserve"> </w:t>
            </w:r>
            <w:r>
              <w:rPr>
                <w:color w:val="9B1C1C"/>
                <w:sz w:val="19"/>
                <w:szCs w:val="19"/>
              </w:rPr>
              <w:t>aspiration. Do not attempt this procedure blindly or without imaging control.</w:t>
            </w:r>
          </w:p>
        </w:tc>
      </w:tr>
    </w:tbl>
    <w:p w14:paraId="7A1BF710" w14:textId="77777777" w:rsidR="00390AE2" w:rsidRDefault="00390AE2">
      <w:pPr>
        <w:spacing w:before="60"/>
      </w:pPr>
    </w:p>
    <w:p w14:paraId="1DE21DA5" w14:textId="77777777" w:rsidR="00390AE2" w:rsidRDefault="00000000">
      <w:pPr>
        <w:pBdr>
          <w:bottom w:val="single" w:sz="6" w:space="3" w:color="0B8A8A"/>
        </w:pBdr>
        <w:spacing w:before="240" w:after="80"/>
        <w:rPr>
          <w:b/>
          <w:bCs/>
          <w:color w:val="1B3A52"/>
          <w:sz w:val="23"/>
          <w:szCs w:val="23"/>
        </w:rPr>
      </w:pPr>
      <w:r>
        <w:rPr>
          <w:b/>
          <w:bCs/>
          <w:color w:val="1B3A52"/>
          <w:sz w:val="23"/>
          <w:szCs w:val="23"/>
        </w:rPr>
        <w:t>Greater Trochanteric Pain Syndrome (GTPS)</w:t>
      </w:r>
    </w:p>
    <w:p w14:paraId="49A36B54" w14:textId="4EFFCC85" w:rsidR="00D356B9" w:rsidRDefault="00D356B9" w:rsidP="00D356B9">
      <w:pPr>
        <w:pBdr>
          <w:bottom w:val="single" w:sz="6" w:space="3" w:color="0B8A8A"/>
        </w:pBdr>
        <w:spacing w:before="240" w:after="80"/>
        <w:jc w:val="center"/>
      </w:pPr>
      <w:r>
        <w:rPr>
          <w:noProof/>
        </w:rPr>
        <w:drawing>
          <wp:inline distT="0" distB="0" distL="0" distR="0" wp14:anchorId="4655EECC" wp14:editId="69B6D1D6">
            <wp:extent cx="2909888" cy="3340096"/>
            <wp:effectExtent l="0" t="0" r="5080" b="0"/>
            <wp:docPr id="1407888163" name="fig19_knee_joint.png" descr="Fig. 19  Injection of the knee joint" title="Fig. 19  Injection of the knee j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917115" cy="3348392"/>
                    </a:xfrm>
                    <a:prstGeom prst="rect">
                      <a:avLst/>
                    </a:prstGeom>
                  </pic:spPr>
                </pic:pic>
              </a:graphicData>
            </a:graphic>
          </wp:inline>
        </w:drawing>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43D1BB5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6980E19" w14:textId="77777777" w:rsidR="00390AE2" w:rsidRDefault="00000000">
            <w:r>
              <w:rPr>
                <w:b/>
                <w:bCs/>
                <w:color w:val="1B3A52"/>
                <w:sz w:val="19"/>
                <w:szCs w:val="19"/>
              </w:rPr>
              <w:t>Note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2618FAE" w14:textId="77777777" w:rsidR="00390AE2" w:rsidRDefault="00000000">
            <w:r>
              <w:rPr>
                <w:sz w:val="19"/>
                <w:szCs w:val="19"/>
              </w:rPr>
              <w:t xml:space="preserve">Formerly called "trochanteric bursitis". This condition is enthesopathy at the gluteus medius and </w:t>
            </w:r>
            <w:proofErr w:type="spellStart"/>
            <w:r>
              <w:rPr>
                <w:sz w:val="19"/>
                <w:szCs w:val="19"/>
              </w:rPr>
              <w:t>minimus</w:t>
            </w:r>
            <w:proofErr w:type="spellEnd"/>
            <w:r>
              <w:rPr>
                <w:sz w:val="19"/>
                <w:szCs w:val="19"/>
              </w:rPr>
              <w:t xml:space="preserve"> insertion — not true bursitis.</w:t>
            </w:r>
          </w:p>
        </w:tc>
      </w:tr>
      <w:tr w:rsidR="00390AE2" w14:paraId="16F6408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00CA3C3"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5FF361A7" w14:textId="77777777" w:rsidR="00390AE2" w:rsidRDefault="00000000">
            <w:r>
              <w:rPr>
                <w:sz w:val="19"/>
                <w:szCs w:val="19"/>
              </w:rPr>
              <w:t>Refractory GTPS after physiotherapy and analgesia have been tried.</w:t>
            </w:r>
          </w:p>
        </w:tc>
      </w:tr>
      <w:tr w:rsidR="00390AE2" w14:paraId="7E65ADD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0153982"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94BDCE2" w14:textId="77777777" w:rsidR="00390AE2" w:rsidRDefault="00000000">
            <w:proofErr w:type="gramStart"/>
            <w:r>
              <w:rPr>
                <w:sz w:val="19"/>
                <w:szCs w:val="19"/>
              </w:rPr>
              <w:t>22 gauge</w:t>
            </w:r>
            <w:proofErr w:type="gramEnd"/>
            <w:r>
              <w:rPr>
                <w:sz w:val="19"/>
                <w:szCs w:val="19"/>
              </w:rPr>
              <w:t>, 1.5 inch. Spinal needle in obese patients.</w:t>
            </w:r>
          </w:p>
        </w:tc>
      </w:tr>
      <w:tr w:rsidR="00390AE2" w14:paraId="3B495A2C"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DCAA2CA"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01D3F421" w14:textId="77777777" w:rsidR="00390AE2" w:rsidRDefault="00000000">
            <w:r>
              <w:rPr>
                <w:sz w:val="19"/>
                <w:szCs w:val="19"/>
              </w:rPr>
              <w:t>30–40 mg methylprednisolone + 3 ml 1% lidocaine</w:t>
            </w:r>
          </w:p>
        </w:tc>
      </w:tr>
      <w:tr w:rsidR="00390AE2" w14:paraId="4401F87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8152F12" w14:textId="77777777" w:rsidR="00390AE2" w:rsidRDefault="00000000">
            <w:r>
              <w:rPr>
                <w:b/>
                <w:bCs/>
                <w:color w:val="1B3A52"/>
                <w:sz w:val="19"/>
                <w:szCs w:val="19"/>
              </w:rPr>
              <w:t>Position</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2FBB6AEE" w14:textId="77777777" w:rsidR="00390AE2" w:rsidRDefault="00000000">
            <w:r>
              <w:rPr>
                <w:sz w:val="19"/>
                <w:szCs w:val="19"/>
              </w:rPr>
              <w:t>Patient on opposite side.</w:t>
            </w:r>
          </w:p>
        </w:tc>
      </w:tr>
      <w:tr w:rsidR="00390AE2" w14:paraId="2A748D98"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AA4C193" w14:textId="77777777" w:rsidR="00390AE2" w:rsidRDefault="00000000">
            <w:r>
              <w:rPr>
                <w:b/>
                <w:bCs/>
                <w:color w:val="1B3A52"/>
                <w:sz w:val="19"/>
                <w:szCs w:val="19"/>
              </w:rPr>
              <w:lastRenderedPageBreak/>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DA2D28F" w14:textId="77777777" w:rsidR="00390AE2" w:rsidRDefault="00000000">
            <w:r>
              <w:rPr>
                <w:sz w:val="19"/>
                <w:szCs w:val="19"/>
              </w:rPr>
              <w:t>Palpate the greater trochanter distally to proximally. The point of maximal tenderness is usually at the posterior corner. Insert vertically to periosteal contact. Step 1: Infiltrate lidocaine radially over a 3 cm cone (half on bone, half in adjacent soft tissue). Step 2: If pain is relieved, inject the corticosteroid and lidocaine mixture into the same area.</w:t>
            </w:r>
          </w:p>
        </w:tc>
      </w:tr>
      <w:tr w:rsidR="00390AE2" w14:paraId="2526593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468CB4C"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34BFC99" w14:textId="77777777" w:rsidR="00390AE2" w:rsidRDefault="00000000">
            <w:r>
              <w:rPr>
                <w:sz w:val="19"/>
                <w:szCs w:val="19"/>
              </w:rPr>
              <w:t>Ensure needle length is sufficient to reach the bone in obese patients.</w:t>
            </w:r>
          </w:p>
        </w:tc>
      </w:tr>
      <w:tr w:rsidR="00390AE2" w14:paraId="51115C5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B387DF3"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5144A240" w14:textId="77777777" w:rsidR="00390AE2" w:rsidRDefault="00000000">
            <w:r>
              <w:rPr>
                <w:sz w:val="19"/>
                <w:szCs w:val="19"/>
              </w:rPr>
              <w:t>None.</w:t>
            </w:r>
          </w:p>
        </w:tc>
      </w:tr>
    </w:tbl>
    <w:p w14:paraId="220FA549"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18  Injection</w:t>
      </w:r>
      <w:proofErr w:type="gramEnd"/>
      <w:r>
        <w:rPr>
          <w:i/>
          <w:iCs/>
          <w:color w:val="6B7280"/>
          <w:sz w:val="18"/>
          <w:szCs w:val="18"/>
        </w:rPr>
        <w:t xml:space="preserve"> of the trochanteric bursa</w:t>
      </w:r>
    </w:p>
    <w:p w14:paraId="4D449FC9"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0F1DB105"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5CB2B9AF" w14:textId="77777777" w:rsidR="00390AE2" w:rsidRDefault="00000000">
            <w:pPr>
              <w:spacing w:after="80"/>
            </w:pPr>
            <w:r>
              <w:rPr>
                <w:b/>
                <w:bCs/>
                <w:color w:val="166534"/>
                <w:sz w:val="18"/>
                <w:szCs w:val="18"/>
              </w:rPr>
              <w:t>CLINICAL NOTE</w:t>
            </w:r>
          </w:p>
          <w:p w14:paraId="4F8A5C58" w14:textId="77777777" w:rsidR="00390AE2" w:rsidRDefault="00000000">
            <w:pPr>
              <w:spacing w:after="50"/>
            </w:pPr>
            <w:r>
              <w:rPr>
                <w:color w:val="166534"/>
                <w:sz w:val="19"/>
                <w:szCs w:val="19"/>
              </w:rPr>
              <w:t>Address the underlying cause: gait abnormality, leg length discrepancy, hip OA, lumbosacral dysfunction.</w:t>
            </w:r>
          </w:p>
          <w:p w14:paraId="0A0579C8" w14:textId="77777777" w:rsidR="00390AE2" w:rsidRDefault="00000000">
            <w:pPr>
              <w:spacing w:after="50"/>
            </w:pPr>
            <w:r>
              <w:rPr>
                <w:color w:val="166534"/>
                <w:sz w:val="19"/>
                <w:szCs w:val="19"/>
              </w:rPr>
              <w:t>NICE CKS: Injection is an adjunct to physiotherapy — not a stand-alone treatment. Physiotherapy is required for sustained benefit.</w:t>
            </w:r>
          </w:p>
        </w:tc>
      </w:tr>
    </w:tbl>
    <w:p w14:paraId="011CCB9C" w14:textId="77777777" w:rsidR="00390AE2" w:rsidRDefault="00390AE2">
      <w:pPr>
        <w:spacing w:before="60"/>
      </w:pPr>
    </w:p>
    <w:p w14:paraId="57A96D61" w14:textId="77777777" w:rsidR="00014114" w:rsidRDefault="00014114">
      <w:pPr>
        <w:rPr>
          <w:b/>
          <w:bCs/>
          <w:color w:val="1B3A52"/>
          <w:sz w:val="23"/>
          <w:szCs w:val="23"/>
        </w:rPr>
      </w:pPr>
      <w:r>
        <w:rPr>
          <w:b/>
          <w:bCs/>
          <w:color w:val="1B3A52"/>
          <w:sz w:val="23"/>
          <w:szCs w:val="23"/>
        </w:rPr>
        <w:br w:type="page"/>
      </w:r>
    </w:p>
    <w:p w14:paraId="48BBDB64" w14:textId="74400915" w:rsidR="00390AE2" w:rsidRDefault="00000000">
      <w:pPr>
        <w:pBdr>
          <w:bottom w:val="single" w:sz="6" w:space="3" w:color="0B8A8A"/>
        </w:pBdr>
        <w:spacing w:before="240" w:after="80"/>
      </w:pPr>
      <w:r>
        <w:rPr>
          <w:b/>
          <w:bCs/>
          <w:color w:val="1B3A52"/>
          <w:sz w:val="23"/>
          <w:szCs w:val="23"/>
        </w:rPr>
        <w:lastRenderedPageBreak/>
        <w:t>Iliopsoas Bursa</w:t>
      </w:r>
    </w:p>
    <w:tbl>
      <w:tblPr>
        <w:tblW w:w="9746" w:type="dxa"/>
        <w:tblBorders>
          <w:top w:val="single" w:sz="12" w:space="0" w:color="9B1C1C"/>
          <w:left w:val="single" w:sz="28" w:space="0" w:color="9B1C1C"/>
          <w:bottom w:val="single" w:sz="12" w:space="0" w:color="9B1C1C"/>
          <w:right w:val="single" w:sz="12" w:space="0" w:color="9B1C1C"/>
        </w:tblBorders>
        <w:tblCellMar>
          <w:top w:w="140" w:type="dxa"/>
          <w:left w:w="220" w:type="dxa"/>
          <w:bottom w:w="140" w:type="dxa"/>
          <w:right w:w="220" w:type="dxa"/>
        </w:tblCellMar>
        <w:tblLook w:val="04A0" w:firstRow="1" w:lastRow="0" w:firstColumn="1" w:lastColumn="0" w:noHBand="0" w:noVBand="1"/>
      </w:tblPr>
      <w:tblGrid>
        <w:gridCol w:w="9746"/>
      </w:tblGrid>
      <w:tr w:rsidR="00390AE2" w14:paraId="5CA44343" w14:textId="77777777">
        <w:tc>
          <w:tcPr>
            <w:tcW w:w="9746" w:type="dxa"/>
            <w:shd w:val="clear" w:color="auto" w:fill="FEE2E2"/>
          </w:tcPr>
          <w:p w14:paraId="69DC5C40" w14:textId="77777777" w:rsidR="00390AE2" w:rsidRDefault="00000000">
            <w:pPr>
              <w:spacing w:after="80"/>
            </w:pPr>
            <w:proofErr w:type="gramStart"/>
            <w:r>
              <w:rPr>
                <w:b/>
                <w:caps/>
                <w:color w:val="9B1C1C"/>
                <w:sz w:val="18"/>
                <w:szCs w:val="18"/>
              </w:rPr>
              <w:t>🚫  NOT</w:t>
            </w:r>
            <w:proofErr w:type="gramEnd"/>
            <w:r>
              <w:rPr>
                <w:b/>
                <w:caps/>
                <w:color w:val="9B1C1C"/>
                <w:sz w:val="18"/>
                <w:szCs w:val="18"/>
              </w:rPr>
              <w:t xml:space="preserve"> PERFORMED IN PRIMARY CARE — SPECIALIST REFERRAL REQUIRED</w:t>
            </w:r>
          </w:p>
          <w:p w14:paraId="45CBEF26" w14:textId="77777777" w:rsidR="00390AE2" w:rsidRDefault="00000000">
            <w:pPr>
              <w:spacing w:after="50"/>
            </w:pPr>
            <w:r>
              <w:rPr>
                <w:color w:val="9B1C1C"/>
                <w:sz w:val="19"/>
                <w:szCs w:val="19"/>
              </w:rPr>
              <w:t>Iliopsoas bursa injection must NOT be performed in primary care.</w:t>
            </w:r>
          </w:p>
          <w:p w14:paraId="3BA24DDC" w14:textId="77777777" w:rsidR="00390AE2" w:rsidRDefault="00390AE2">
            <w:pPr>
              <w:spacing w:after="50"/>
            </w:pPr>
          </w:p>
          <w:p w14:paraId="765B83BF" w14:textId="3FFC4F48" w:rsidR="00390AE2" w:rsidRDefault="00000000">
            <w:pPr>
              <w:spacing w:after="50"/>
            </w:pPr>
            <w:r>
              <w:rPr>
                <w:color w:val="9B1C1C"/>
                <w:sz w:val="19"/>
                <w:szCs w:val="19"/>
              </w:rPr>
              <w:t>WHY: The iliopsoas bursa is a deep pelvic structure immediately adjacent to the</w:t>
            </w:r>
            <w:r w:rsidR="00014114">
              <w:rPr>
                <w:color w:val="9B1C1C"/>
                <w:sz w:val="19"/>
                <w:szCs w:val="19"/>
              </w:rPr>
              <w:t xml:space="preserve"> </w:t>
            </w:r>
            <w:r>
              <w:rPr>
                <w:color w:val="9B1C1C"/>
                <w:sz w:val="19"/>
                <w:szCs w:val="19"/>
              </w:rPr>
              <w:t>femoral nerve and femoral vessels. Blind injection carries an unacceptable risk of</w:t>
            </w:r>
            <w:r w:rsidR="00014114">
              <w:rPr>
                <w:color w:val="9B1C1C"/>
                <w:sz w:val="19"/>
                <w:szCs w:val="19"/>
              </w:rPr>
              <w:t xml:space="preserve"> </w:t>
            </w:r>
            <w:r>
              <w:rPr>
                <w:color w:val="9B1C1C"/>
                <w:sz w:val="19"/>
                <w:szCs w:val="19"/>
              </w:rPr>
              <w:t xml:space="preserve">neurovascular injury. The procedure requires contrast medium to confirm </w:t>
            </w:r>
            <w:proofErr w:type="spellStart"/>
            <w:r>
              <w:rPr>
                <w:color w:val="9B1C1C"/>
                <w:sz w:val="19"/>
                <w:szCs w:val="19"/>
              </w:rPr>
              <w:t>intrabursal</w:t>
            </w:r>
            <w:proofErr w:type="spellEnd"/>
            <w:r w:rsidR="00014114">
              <w:rPr>
                <w:color w:val="9B1C1C"/>
                <w:sz w:val="19"/>
                <w:szCs w:val="19"/>
              </w:rPr>
              <w:t xml:space="preserve"> </w:t>
            </w:r>
            <w:r>
              <w:rPr>
                <w:color w:val="9B1C1C"/>
                <w:sz w:val="19"/>
                <w:szCs w:val="19"/>
              </w:rPr>
              <w:t>placement, which mandates fluoroscopic or ultrasound guidance in a specialist setting.</w:t>
            </w:r>
          </w:p>
          <w:p w14:paraId="2FDA34B8" w14:textId="77777777" w:rsidR="00390AE2" w:rsidRDefault="00390AE2">
            <w:pPr>
              <w:spacing w:after="50"/>
            </w:pPr>
          </w:p>
          <w:p w14:paraId="6B454CE8" w14:textId="66744852" w:rsidR="00390AE2" w:rsidRDefault="00000000">
            <w:pPr>
              <w:spacing w:after="50"/>
            </w:pPr>
            <w:r>
              <w:rPr>
                <w:color w:val="9B1C1C"/>
                <w:sz w:val="19"/>
                <w:szCs w:val="19"/>
              </w:rPr>
              <w:t>WHAT TO DO: Refer to MSK radiology or rheumatology for image-guided injection.</w:t>
            </w:r>
            <w:r w:rsidR="00014114">
              <w:rPr>
                <w:color w:val="9B1C1C"/>
                <w:sz w:val="19"/>
                <w:szCs w:val="19"/>
              </w:rPr>
              <w:t xml:space="preserve"> </w:t>
            </w:r>
            <w:r>
              <w:rPr>
                <w:color w:val="9B1C1C"/>
                <w:sz w:val="19"/>
                <w:szCs w:val="19"/>
              </w:rPr>
              <w:t>This procedure is not within the scope of primary care minor surgery.</w:t>
            </w:r>
          </w:p>
        </w:tc>
      </w:tr>
    </w:tbl>
    <w:p w14:paraId="24B5393C" w14:textId="77777777" w:rsidR="00390AE2" w:rsidRDefault="00390AE2">
      <w:pPr>
        <w:spacing w:before="60"/>
      </w:pPr>
    </w:p>
    <w:p w14:paraId="576168BF" w14:textId="77777777" w:rsidR="00390AE2" w:rsidRDefault="00390AE2">
      <w:pPr>
        <w:spacing w:before="60"/>
      </w:pPr>
    </w:p>
    <w:p w14:paraId="4EFC38D5"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238341A9"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3D1D2E3A" w14:textId="77777777" w:rsidR="00390AE2" w:rsidRDefault="00000000">
            <w:r>
              <w:rPr>
                <w:b/>
                <w:bCs/>
                <w:color w:val="FFFFFF"/>
                <w:sz w:val="32"/>
                <w:szCs w:val="32"/>
              </w:rPr>
              <w:t>The Knee Region</w:t>
            </w:r>
          </w:p>
        </w:tc>
      </w:tr>
    </w:tbl>
    <w:p w14:paraId="7D7ABB05" w14:textId="77777777" w:rsidR="00390AE2" w:rsidRDefault="00390AE2">
      <w:pPr>
        <w:spacing w:before="40"/>
      </w:pPr>
    </w:p>
    <w:p w14:paraId="6865ABB8" w14:textId="77777777" w:rsidR="00390AE2" w:rsidRDefault="00000000">
      <w:pPr>
        <w:pBdr>
          <w:bottom w:val="single" w:sz="6" w:space="3" w:color="0B8A8A"/>
        </w:pBdr>
        <w:spacing w:before="240" w:after="80"/>
      </w:pPr>
      <w:r>
        <w:rPr>
          <w:b/>
          <w:bCs/>
          <w:color w:val="1B3A52"/>
          <w:sz w:val="23"/>
          <w:szCs w:val="23"/>
        </w:rPr>
        <w:t>Knee Joint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2B2D2FA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F79AA41"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985557C" w14:textId="77777777" w:rsidR="00390AE2" w:rsidRDefault="00000000">
            <w:r>
              <w:rPr>
                <w:sz w:val="19"/>
                <w:szCs w:val="19"/>
              </w:rPr>
              <w:t>Aspiration for any joint effusion (mandatory if septic arthritis suspected). Injection for RA, spondyloarthropathy, OA, crystal-induced synovitis.</w:t>
            </w:r>
          </w:p>
        </w:tc>
      </w:tr>
      <w:tr w:rsidR="00390AE2" w14:paraId="06636BEC"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F8A80BE"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F7A001E" w14:textId="77777777" w:rsidR="00390AE2" w:rsidRDefault="00000000">
            <w:r>
              <w:rPr>
                <w:sz w:val="19"/>
                <w:szCs w:val="19"/>
              </w:rPr>
              <w:t>22 gauge (injection); 18–20 gauge (aspiration — use larger gauge for thick fluid or large effusion)</w:t>
            </w:r>
          </w:p>
        </w:tc>
      </w:tr>
      <w:tr w:rsidR="00390AE2" w14:paraId="4DCF3D1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F2FFB4D"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EC88626" w14:textId="77777777" w:rsidR="00390AE2" w:rsidRDefault="00000000">
            <w:r>
              <w:rPr>
                <w:sz w:val="19"/>
                <w:szCs w:val="19"/>
              </w:rPr>
              <w:t>40–60 mg methylprednisolone. Always attempt aspiration before injection.</w:t>
            </w:r>
          </w:p>
        </w:tc>
      </w:tr>
      <w:tr w:rsidR="00390AE2" w14:paraId="16F7AD2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2677AAB"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6D9A764" w14:textId="77777777" w:rsidR="00390AE2" w:rsidRDefault="00000000">
            <w:r>
              <w:rPr>
                <w:sz w:val="19"/>
                <w:szCs w:val="19"/>
              </w:rPr>
              <w:t xml:space="preserve">Medial approach preferred (the lateral patellofemoral cleft is narrower; the capsule is tougher laterally). Position needle at patellar midpoint, between upper and lower poles, directed </w:t>
            </w:r>
            <w:proofErr w:type="spellStart"/>
            <w:r>
              <w:rPr>
                <w:sz w:val="19"/>
                <w:szCs w:val="19"/>
              </w:rPr>
              <w:t>posterolaterally</w:t>
            </w:r>
            <w:proofErr w:type="spellEnd"/>
            <w:r>
              <w:rPr>
                <w:sz w:val="19"/>
                <w:szCs w:val="19"/>
              </w:rPr>
              <w:t xml:space="preserve"> beneath the patella.</w:t>
            </w:r>
          </w:p>
        </w:tc>
      </w:tr>
      <w:tr w:rsidR="00390AE2" w14:paraId="0CE6144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6BA7488"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2A154433" w14:textId="77777777" w:rsidR="00390AE2" w:rsidRDefault="00000000">
            <w:r>
              <w:rPr>
                <w:sz w:val="19"/>
                <w:szCs w:val="19"/>
              </w:rPr>
              <w:t>In RA patients, always send aspirated fluid for culture before injecting corticosteroid. Do not inject an acutely inflamed joint until culture results are available.</w:t>
            </w:r>
          </w:p>
        </w:tc>
      </w:tr>
      <w:tr w:rsidR="00390AE2" w14:paraId="2BA9B60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1A385CE"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95136A2" w14:textId="77777777" w:rsidR="00390AE2" w:rsidRDefault="00000000">
            <w:r>
              <w:rPr>
                <w:sz w:val="19"/>
                <w:szCs w:val="19"/>
              </w:rPr>
              <w:t>None with correct aseptic technique.</w:t>
            </w:r>
          </w:p>
        </w:tc>
      </w:tr>
    </w:tbl>
    <w:p w14:paraId="28B7ECFA" w14:textId="4B0D4C15" w:rsidR="00390AE2" w:rsidRDefault="0004015C">
      <w:pPr>
        <w:spacing w:before="120" w:after="60"/>
        <w:jc w:val="center"/>
      </w:pPr>
      <w:r>
        <w:rPr>
          <w:noProof/>
        </w:rPr>
        <w:drawing>
          <wp:inline distT="0" distB="0" distL="0" distR="0" wp14:anchorId="582C9D6A" wp14:editId="74EADA22">
            <wp:extent cx="2500313" cy="2746468"/>
            <wp:effectExtent l="0" t="0" r="0" b="0"/>
            <wp:docPr id="385064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064262" name="Picture 38506426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20997" cy="2769188"/>
                    </a:xfrm>
                    <a:prstGeom prst="rect">
                      <a:avLst/>
                    </a:prstGeom>
                  </pic:spPr>
                </pic:pic>
              </a:graphicData>
            </a:graphic>
          </wp:inline>
        </w:drawing>
      </w:r>
    </w:p>
    <w:p w14:paraId="330AF788" w14:textId="77777777" w:rsidR="00390AE2" w:rsidRDefault="00000000">
      <w:pPr>
        <w:spacing w:after="120"/>
        <w:jc w:val="center"/>
      </w:pPr>
      <w:r>
        <w:rPr>
          <w:b/>
          <w:bCs/>
          <w:color w:val="0B8A8A"/>
          <w:sz w:val="18"/>
          <w:szCs w:val="18"/>
        </w:rPr>
        <w:t xml:space="preserve">▸  </w:t>
      </w:r>
      <w:r>
        <w:rPr>
          <w:i/>
          <w:iCs/>
          <w:color w:val="6B7280"/>
          <w:sz w:val="18"/>
          <w:szCs w:val="18"/>
        </w:rPr>
        <w:t xml:space="preserve">Fig. </w:t>
      </w:r>
      <w:proofErr w:type="gramStart"/>
      <w:r>
        <w:rPr>
          <w:i/>
          <w:iCs/>
          <w:color w:val="6B7280"/>
          <w:sz w:val="18"/>
          <w:szCs w:val="18"/>
        </w:rPr>
        <w:t>19  Injection</w:t>
      </w:r>
      <w:proofErr w:type="gramEnd"/>
      <w:r>
        <w:rPr>
          <w:i/>
          <w:iCs/>
          <w:color w:val="6B7280"/>
          <w:sz w:val="18"/>
          <w:szCs w:val="18"/>
        </w:rPr>
        <w:t xml:space="preserve"> of the knee joint</w:t>
      </w:r>
    </w:p>
    <w:p w14:paraId="46C6E589"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7F1B15D8"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57609D66" w14:textId="77777777" w:rsidR="00390AE2" w:rsidRDefault="00000000">
            <w:pPr>
              <w:spacing w:after="80"/>
            </w:pPr>
            <w:r>
              <w:rPr>
                <w:b/>
                <w:bCs/>
                <w:color w:val="166534"/>
                <w:sz w:val="18"/>
                <w:szCs w:val="18"/>
              </w:rPr>
              <w:lastRenderedPageBreak/>
              <w:t>CLINICAL NOTE</w:t>
            </w:r>
          </w:p>
          <w:p w14:paraId="308329B9" w14:textId="77777777" w:rsidR="00390AE2" w:rsidRDefault="00000000">
            <w:pPr>
              <w:spacing w:after="50"/>
            </w:pPr>
            <w:r>
              <w:rPr>
                <w:color w:val="166534"/>
                <w:sz w:val="19"/>
                <w:szCs w:val="19"/>
              </w:rPr>
              <w:t>NICE NG226: Intra-articular corticosteroid injection for knee OA provides short-term benefit only (2–10 weeks). Inform patients before proceeding.</w:t>
            </w:r>
          </w:p>
          <w:p w14:paraId="32E4659D" w14:textId="77777777" w:rsidR="00390AE2" w:rsidRDefault="00000000">
            <w:pPr>
              <w:spacing w:after="50"/>
            </w:pPr>
            <w:r>
              <w:rPr>
                <w:color w:val="166534"/>
                <w:sz w:val="19"/>
                <w:szCs w:val="19"/>
              </w:rPr>
              <w:t>Corticosteroid crystals persist in joints for weeks to months — documented injection dates prevent misdiagnosis of gout or pseudogout on later aspiration.</w:t>
            </w:r>
          </w:p>
        </w:tc>
      </w:tr>
    </w:tbl>
    <w:p w14:paraId="4D21E931" w14:textId="77777777" w:rsidR="00390AE2" w:rsidRDefault="00390AE2">
      <w:pPr>
        <w:spacing w:before="60"/>
      </w:pPr>
    </w:p>
    <w:p w14:paraId="28FBE208" w14:textId="77777777" w:rsidR="00390AE2" w:rsidRDefault="00000000">
      <w:pPr>
        <w:pBdr>
          <w:bottom w:val="single" w:sz="6" w:space="3" w:color="0B8A8A"/>
        </w:pBdr>
        <w:spacing w:before="240" w:after="80"/>
      </w:pPr>
      <w:r>
        <w:rPr>
          <w:b/>
          <w:bCs/>
          <w:color w:val="1B3A52"/>
          <w:sz w:val="23"/>
          <w:szCs w:val="23"/>
        </w:rPr>
        <w:t>Baker's Cyst (Popliteal Cyst)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71442B9F"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21B0F97" w14:textId="77777777" w:rsidR="00390AE2" w:rsidRDefault="00000000">
            <w:r>
              <w:rPr>
                <w:b/>
                <w:bCs/>
                <w:color w:val="1B3A52"/>
                <w:sz w:val="19"/>
                <w:szCs w:val="19"/>
              </w:rPr>
              <w:t>Key principle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3320705" w14:textId="77777777" w:rsidR="00390AE2" w:rsidRDefault="00000000">
            <w:r>
              <w:rPr>
                <w:sz w:val="19"/>
                <w:szCs w:val="19"/>
              </w:rPr>
              <w:t>Do NOT aspirate or inject a Baker's cyst directly. It is a secondary phenomenon — caused by excess synovial fluid produced in the knee joint.</w:t>
            </w:r>
          </w:p>
        </w:tc>
      </w:tr>
      <w:tr w:rsidR="00390AE2" w14:paraId="1259359D"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F4A66AD" w14:textId="77777777" w:rsidR="00390AE2" w:rsidRDefault="00000000">
            <w:r>
              <w:rPr>
                <w:b/>
                <w:bCs/>
                <w:color w:val="1B3A52"/>
                <w:sz w:val="19"/>
                <w:szCs w:val="19"/>
              </w:rPr>
              <w:t>Treatment</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451D4B0" w14:textId="77777777" w:rsidR="00390AE2" w:rsidRDefault="00000000">
            <w:r>
              <w:rPr>
                <w:sz w:val="19"/>
                <w:szCs w:val="19"/>
              </w:rPr>
              <w:t>Treat the underlying knee disorder (RA, OA, meniscal pathology). The cyst resolves when the underlying cause is controlled.</w:t>
            </w:r>
          </w:p>
        </w:tc>
      </w:tr>
    </w:tbl>
    <w:p w14:paraId="036A7B11" w14:textId="77777777" w:rsidR="00390AE2" w:rsidRDefault="00390AE2">
      <w:pPr>
        <w:spacing w:before="60"/>
      </w:pPr>
    </w:p>
    <w:p w14:paraId="26FFE30A" w14:textId="77777777" w:rsidR="00390AE2" w:rsidRDefault="00000000">
      <w:pPr>
        <w:pBdr>
          <w:bottom w:val="single" w:sz="6" w:space="3" w:color="0B8A8A"/>
        </w:pBdr>
        <w:spacing w:before="240" w:after="80"/>
      </w:pPr>
      <w:r>
        <w:rPr>
          <w:b/>
          <w:bCs/>
          <w:color w:val="1B3A52"/>
          <w:sz w:val="23"/>
          <w:szCs w:val="23"/>
        </w:rPr>
        <w:t>Anserine Bursitis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140FCD7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1B5C263"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74EF1BF0" w14:textId="77777777" w:rsidR="00390AE2" w:rsidRDefault="00000000">
            <w:r>
              <w:rPr>
                <w:sz w:val="19"/>
                <w:szCs w:val="19"/>
              </w:rPr>
              <w:t xml:space="preserve">Anserine bursitis syndrome: medial knee pain, anteromedial tibial tenderness — typically in obese patients with knee OA or genu </w:t>
            </w:r>
            <w:proofErr w:type="spellStart"/>
            <w:r>
              <w:rPr>
                <w:sz w:val="19"/>
                <w:szCs w:val="19"/>
              </w:rPr>
              <w:t>valgum</w:t>
            </w:r>
            <w:proofErr w:type="spellEnd"/>
            <w:r>
              <w:rPr>
                <w:sz w:val="19"/>
                <w:szCs w:val="19"/>
              </w:rPr>
              <w:t>.</w:t>
            </w:r>
          </w:p>
        </w:tc>
      </w:tr>
      <w:tr w:rsidR="00390AE2" w14:paraId="6632188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D48EFEB"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228E6FC" w14:textId="77777777" w:rsidR="00390AE2" w:rsidRDefault="00000000">
            <w:r>
              <w:rPr>
                <w:sz w:val="19"/>
                <w:szCs w:val="19"/>
              </w:rPr>
              <w:t>22 gauge</w:t>
            </w:r>
          </w:p>
        </w:tc>
      </w:tr>
      <w:tr w:rsidR="00390AE2" w14:paraId="2E87797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AE2E73A"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DCD7828" w14:textId="77777777" w:rsidR="00390AE2" w:rsidRDefault="00000000">
            <w:r>
              <w:rPr>
                <w:sz w:val="19"/>
                <w:szCs w:val="19"/>
              </w:rPr>
              <w:t>20–30 mg methylprednisolone + 2–3 ml 1% lidocaine</w:t>
            </w:r>
          </w:p>
        </w:tc>
      </w:tr>
      <w:tr w:rsidR="00390AE2" w14:paraId="2FFB8DF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E4A8E8A"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D4AF73C" w14:textId="77777777" w:rsidR="00390AE2" w:rsidRDefault="00000000">
            <w:r>
              <w:rPr>
                <w:sz w:val="19"/>
                <w:szCs w:val="19"/>
              </w:rPr>
              <w:t>Knee in semiflexion — follow the medial thigh border to the tibial flare; mark maximum tenderness. Extend the knee fully. Insert perpendicularly to tibial periosteal contact. Infiltrate a 3 cm diameter area.</w:t>
            </w:r>
          </w:p>
        </w:tc>
      </w:tr>
      <w:tr w:rsidR="00390AE2" w14:paraId="0484043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08310E7"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F2C60A3" w14:textId="77777777" w:rsidR="00390AE2" w:rsidRDefault="00000000">
            <w:proofErr w:type="spellStart"/>
            <w:r>
              <w:rPr>
                <w:sz w:val="19"/>
                <w:szCs w:val="19"/>
              </w:rPr>
              <w:t>Paraesthesiae</w:t>
            </w:r>
            <w:proofErr w:type="spellEnd"/>
            <w:r>
              <w:rPr>
                <w:sz w:val="19"/>
                <w:szCs w:val="19"/>
              </w:rPr>
              <w:t xml:space="preserve"> extending down the medial leg indicate saphenous nerve engagement — reposition immediately.</w:t>
            </w:r>
          </w:p>
        </w:tc>
      </w:tr>
      <w:tr w:rsidR="00390AE2" w14:paraId="0631409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7A271E5"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0DF835B6" w14:textId="77777777" w:rsidR="00390AE2" w:rsidRDefault="00000000">
            <w:r>
              <w:rPr>
                <w:sz w:val="19"/>
                <w:szCs w:val="19"/>
              </w:rPr>
              <w:t>None.</w:t>
            </w:r>
          </w:p>
        </w:tc>
      </w:tr>
    </w:tbl>
    <w:p w14:paraId="2A87A08C"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6E5B9A4F"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3026DD79" w14:textId="77777777" w:rsidR="00390AE2" w:rsidRDefault="00000000">
            <w:pPr>
              <w:spacing w:after="80"/>
            </w:pPr>
            <w:r>
              <w:rPr>
                <w:b/>
                <w:bCs/>
                <w:color w:val="166534"/>
                <w:sz w:val="18"/>
                <w:szCs w:val="18"/>
              </w:rPr>
              <w:t>CLINICAL NOTE</w:t>
            </w:r>
          </w:p>
          <w:p w14:paraId="5E0B30CA" w14:textId="77777777" w:rsidR="00390AE2" w:rsidRDefault="00000000">
            <w:pPr>
              <w:spacing w:after="50"/>
            </w:pPr>
            <w:r>
              <w:rPr>
                <w:color w:val="166534"/>
                <w:sz w:val="19"/>
                <w:szCs w:val="19"/>
              </w:rPr>
              <w:t xml:space="preserve">Anserine bursitis almost always recurs unless the underlying cause is addressed. Initiate intensive quadriceps strengthening immediately. Address: obesity, genu </w:t>
            </w:r>
            <w:proofErr w:type="spellStart"/>
            <w:r>
              <w:rPr>
                <w:color w:val="166534"/>
                <w:sz w:val="19"/>
                <w:szCs w:val="19"/>
              </w:rPr>
              <w:t>valgum</w:t>
            </w:r>
            <w:proofErr w:type="spellEnd"/>
            <w:r>
              <w:rPr>
                <w:color w:val="166534"/>
                <w:sz w:val="19"/>
                <w:szCs w:val="19"/>
              </w:rPr>
              <w:t>, patellofemoral OA.</w:t>
            </w:r>
          </w:p>
        </w:tc>
      </w:tr>
    </w:tbl>
    <w:p w14:paraId="4B3BBC3D" w14:textId="77777777" w:rsidR="00390AE2" w:rsidRDefault="00390AE2">
      <w:pPr>
        <w:spacing w:before="60"/>
      </w:pPr>
    </w:p>
    <w:p w14:paraId="4DB14D98" w14:textId="259CF4C2" w:rsidR="00D356B9" w:rsidRDefault="00D356B9">
      <w:r>
        <w:br w:type="page"/>
      </w:r>
    </w:p>
    <w:p w14:paraId="11666D2D"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1CDD81A1"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25FAAD77" w14:textId="77777777" w:rsidR="00390AE2" w:rsidRDefault="00000000">
            <w:r>
              <w:rPr>
                <w:b/>
                <w:bCs/>
                <w:color w:val="FFFFFF"/>
                <w:sz w:val="32"/>
                <w:szCs w:val="32"/>
              </w:rPr>
              <w:t>The Ankle &amp; Foot</w:t>
            </w:r>
          </w:p>
        </w:tc>
      </w:tr>
    </w:tbl>
    <w:p w14:paraId="78C2B754" w14:textId="77777777" w:rsidR="00390AE2" w:rsidRDefault="00390AE2">
      <w:pPr>
        <w:spacing w:before="40"/>
      </w:pPr>
    </w:p>
    <w:p w14:paraId="61001A68" w14:textId="77777777" w:rsidR="00390AE2" w:rsidRDefault="00000000">
      <w:pPr>
        <w:pBdr>
          <w:bottom w:val="single" w:sz="6" w:space="3" w:color="0B8A8A"/>
        </w:pBdr>
        <w:spacing w:before="240" w:after="80"/>
      </w:pPr>
      <w:r>
        <w:rPr>
          <w:b/>
          <w:bCs/>
          <w:color w:val="1B3A52"/>
          <w:sz w:val="23"/>
          <w:szCs w:val="23"/>
        </w:rPr>
        <w:t>Ankle Joint (Tibiotalar)</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7088159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C020296"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42A2987" w14:textId="77777777" w:rsidR="00390AE2" w:rsidRDefault="00000000">
            <w:r>
              <w:rPr>
                <w:sz w:val="19"/>
                <w:szCs w:val="19"/>
              </w:rPr>
              <w:t>Aspiration for any effusion (particularly suspected septic or crystal arthritis). Injection for RA, spondyloarthropathy, OA.</w:t>
            </w:r>
          </w:p>
        </w:tc>
      </w:tr>
      <w:tr w:rsidR="00390AE2" w14:paraId="159F980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FB1B4ED"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F76A4DD" w14:textId="77777777" w:rsidR="00390AE2" w:rsidRDefault="00000000">
            <w:r>
              <w:rPr>
                <w:sz w:val="19"/>
                <w:szCs w:val="19"/>
              </w:rPr>
              <w:t>22 gauge (injection); 20 gauge (aspiration)</w:t>
            </w:r>
          </w:p>
        </w:tc>
      </w:tr>
      <w:tr w:rsidR="00390AE2" w14:paraId="7289C87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69884BC"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428F69D" w14:textId="77777777" w:rsidR="00390AE2" w:rsidRDefault="00000000">
            <w:r>
              <w:rPr>
                <w:sz w:val="19"/>
                <w:szCs w:val="19"/>
              </w:rPr>
              <w:t>40–60 mg methylprednisolone. Attempt aspiration first.</w:t>
            </w:r>
          </w:p>
        </w:tc>
      </w:tr>
      <w:tr w:rsidR="00390AE2" w14:paraId="28CACFAC"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ADC587F"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23BBCE7" w14:textId="77777777" w:rsidR="00390AE2" w:rsidRDefault="00000000">
            <w:r>
              <w:rPr>
                <w:sz w:val="19"/>
                <w:szCs w:val="19"/>
              </w:rPr>
              <w:t>Patient supine. Flex and extend the foot to identify the tibiotalar cleft. Insert the needle vertically, medial to the anterior tibialis tendon.</w:t>
            </w:r>
          </w:p>
        </w:tc>
      </w:tr>
      <w:tr w:rsidR="00390AE2" w14:paraId="085E6EA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78DC697"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5083ECF" w14:textId="77777777" w:rsidR="00390AE2" w:rsidRDefault="00000000">
            <w:r>
              <w:rPr>
                <w:sz w:val="19"/>
                <w:szCs w:val="19"/>
              </w:rPr>
              <w:t>Avoid the dorsalis pedis artery — palpate it before inserting the needle.</w:t>
            </w:r>
          </w:p>
        </w:tc>
      </w:tr>
      <w:tr w:rsidR="00390AE2" w14:paraId="245B1EC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9C6F1C1"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503535BB" w14:textId="77777777" w:rsidR="00390AE2" w:rsidRDefault="00000000">
            <w:r>
              <w:rPr>
                <w:sz w:val="19"/>
                <w:szCs w:val="19"/>
              </w:rPr>
              <w:t>None.</w:t>
            </w:r>
          </w:p>
        </w:tc>
      </w:tr>
    </w:tbl>
    <w:p w14:paraId="56B78118" w14:textId="77777777" w:rsidR="00390AE2" w:rsidRDefault="00000000">
      <w:pPr>
        <w:spacing w:before="120" w:after="60"/>
        <w:jc w:val="center"/>
      </w:pPr>
      <w:r>
        <w:rPr>
          <w:noProof/>
        </w:rPr>
        <w:drawing>
          <wp:inline distT="0" distB="0" distL="0" distR="0" wp14:anchorId="44371617" wp14:editId="10575AE8">
            <wp:extent cx="4638675" cy="3152775"/>
            <wp:effectExtent l="0" t="0" r="0" b="0"/>
            <wp:docPr id="1568250510" name="fig20_ankle_joint.png" descr="Fig. 20  Injection of the ankle joint" title="Fig. 20  Injection of the ankle j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4638675" cy="3152775"/>
                    </a:xfrm>
                    <a:prstGeom prst="rect">
                      <a:avLst/>
                    </a:prstGeom>
                  </pic:spPr>
                </pic:pic>
              </a:graphicData>
            </a:graphic>
          </wp:inline>
        </w:drawing>
      </w:r>
    </w:p>
    <w:p w14:paraId="58E04B49"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20  Injection</w:t>
      </w:r>
      <w:proofErr w:type="gramEnd"/>
      <w:r>
        <w:rPr>
          <w:i/>
          <w:iCs/>
          <w:color w:val="6B7280"/>
          <w:sz w:val="18"/>
          <w:szCs w:val="18"/>
        </w:rPr>
        <w:t xml:space="preserve"> of the ankle joint</w:t>
      </w:r>
    </w:p>
    <w:p w14:paraId="2FB519FE" w14:textId="77777777" w:rsidR="00390AE2" w:rsidRDefault="00390AE2">
      <w:pPr>
        <w:spacing w:before="60"/>
      </w:pPr>
    </w:p>
    <w:p w14:paraId="51B30362" w14:textId="77777777" w:rsidR="00390AE2" w:rsidRDefault="00000000">
      <w:pPr>
        <w:pBdr>
          <w:bottom w:val="single" w:sz="6" w:space="3" w:color="0B8A8A"/>
        </w:pBdr>
        <w:spacing w:before="240" w:after="80"/>
      </w:pPr>
      <w:r>
        <w:rPr>
          <w:b/>
          <w:bCs/>
          <w:color w:val="1B3A52"/>
          <w:sz w:val="23"/>
          <w:szCs w:val="23"/>
        </w:rPr>
        <w:t>Subtalar Joint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22DFBAB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B95A5D6"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707D76A" w14:textId="77777777" w:rsidR="00390AE2" w:rsidRDefault="00000000">
            <w:r>
              <w:rPr>
                <w:sz w:val="19"/>
                <w:szCs w:val="19"/>
              </w:rPr>
              <w:t>Aspiration or injection for RA, spondyloarthropathy, OA.</w:t>
            </w:r>
          </w:p>
        </w:tc>
      </w:tr>
      <w:tr w:rsidR="00390AE2" w14:paraId="23454AF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C0B3467"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54E65485" w14:textId="77777777" w:rsidR="00390AE2" w:rsidRDefault="00000000">
            <w:r>
              <w:rPr>
                <w:sz w:val="19"/>
                <w:szCs w:val="19"/>
              </w:rPr>
              <w:t>22 gauge</w:t>
            </w:r>
          </w:p>
        </w:tc>
      </w:tr>
      <w:tr w:rsidR="00390AE2" w14:paraId="1A39F52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4596E46"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5E84207" w14:textId="77777777" w:rsidR="00390AE2" w:rsidRDefault="00000000">
            <w:r>
              <w:rPr>
                <w:sz w:val="19"/>
                <w:szCs w:val="19"/>
              </w:rPr>
              <w:t>20–30 mg methylprednisolone. Attempt aspiration first.</w:t>
            </w:r>
          </w:p>
        </w:tc>
      </w:tr>
      <w:tr w:rsidR="00390AE2" w14:paraId="2AF3F5AF"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C7E1D73"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D3CA788" w14:textId="77777777" w:rsidR="00390AE2" w:rsidRDefault="00000000">
            <w:r>
              <w:rPr>
                <w:sz w:val="19"/>
                <w:szCs w:val="19"/>
              </w:rPr>
              <w:t>Gently invert and evert the foot to identify the sinus tarsi (soft cleft anterior to lateral malleolus). Insert perpendicularly towards the tip of the medial malleolus. Aspiration of fluid confirms intra-articular placement. Inject under low pressure.</w:t>
            </w:r>
          </w:p>
        </w:tc>
      </w:tr>
      <w:tr w:rsidR="00390AE2" w14:paraId="1A277CA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C24F5EA"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0FB0CD0" w14:textId="77777777" w:rsidR="00390AE2" w:rsidRDefault="00000000">
            <w:proofErr w:type="gramStart"/>
            <w:r>
              <w:rPr>
                <w:sz w:val="19"/>
                <w:szCs w:val="19"/>
              </w:rPr>
              <w:t>None significant</w:t>
            </w:r>
            <w:proofErr w:type="gramEnd"/>
            <w:r>
              <w:rPr>
                <w:sz w:val="19"/>
                <w:szCs w:val="19"/>
              </w:rPr>
              <w:t>.</w:t>
            </w:r>
          </w:p>
        </w:tc>
      </w:tr>
      <w:tr w:rsidR="00390AE2" w14:paraId="6971A47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7E6CF03"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CA0A1F2" w14:textId="77777777" w:rsidR="00390AE2" w:rsidRDefault="00000000">
            <w:r>
              <w:rPr>
                <w:sz w:val="19"/>
                <w:szCs w:val="19"/>
              </w:rPr>
              <w:t>None.</w:t>
            </w:r>
          </w:p>
        </w:tc>
      </w:tr>
    </w:tbl>
    <w:p w14:paraId="47C05F0C" w14:textId="77777777" w:rsidR="00390AE2" w:rsidRDefault="00000000">
      <w:pPr>
        <w:spacing w:before="120" w:after="60"/>
        <w:jc w:val="center"/>
      </w:pPr>
      <w:r>
        <w:rPr>
          <w:noProof/>
        </w:rPr>
        <w:lastRenderedPageBreak/>
        <w:drawing>
          <wp:inline distT="0" distB="0" distL="0" distR="0" wp14:anchorId="02473500" wp14:editId="00C8F5C1">
            <wp:extent cx="4638675" cy="3152775"/>
            <wp:effectExtent l="0" t="0" r="0" b="0"/>
            <wp:docPr id="1790881642" name="fig21_subtalar_joint.png" descr="Fig. 21  Injection of the subtalar joint" title="Fig. 21  Injection of the subtalar j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4638675" cy="3152775"/>
                    </a:xfrm>
                    <a:prstGeom prst="rect">
                      <a:avLst/>
                    </a:prstGeom>
                  </pic:spPr>
                </pic:pic>
              </a:graphicData>
            </a:graphic>
          </wp:inline>
        </w:drawing>
      </w:r>
    </w:p>
    <w:p w14:paraId="3A0B3111"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21  Injection</w:t>
      </w:r>
      <w:proofErr w:type="gramEnd"/>
      <w:r>
        <w:rPr>
          <w:i/>
          <w:iCs/>
          <w:color w:val="6B7280"/>
          <w:sz w:val="18"/>
          <w:szCs w:val="18"/>
        </w:rPr>
        <w:t xml:space="preserve"> of the subtalar joint</w:t>
      </w:r>
    </w:p>
    <w:p w14:paraId="5A662D9E" w14:textId="77777777" w:rsidR="00390AE2" w:rsidRDefault="00390AE2">
      <w:pPr>
        <w:spacing w:before="60"/>
      </w:pPr>
    </w:p>
    <w:p w14:paraId="1CF0FB70" w14:textId="77777777" w:rsidR="00390AE2" w:rsidRDefault="00000000">
      <w:pPr>
        <w:pBdr>
          <w:bottom w:val="single" w:sz="6" w:space="3" w:color="0B8A8A"/>
        </w:pBdr>
        <w:spacing w:before="240" w:after="80"/>
      </w:pPr>
      <w:r>
        <w:rPr>
          <w:b/>
          <w:bCs/>
          <w:color w:val="1B3A52"/>
          <w:sz w:val="23"/>
          <w:szCs w:val="23"/>
        </w:rPr>
        <w:t>Posterior Tibialis Tendon Sheath</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718DFE6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3EAC6E3"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0DCCC14" w14:textId="77777777" w:rsidR="00390AE2" w:rsidRDefault="00000000">
            <w:r>
              <w:rPr>
                <w:sz w:val="19"/>
                <w:szCs w:val="19"/>
              </w:rPr>
              <w:t>Posterior tibialis tenosynovitis in RA or spondyloarthropathy; tarsal tunnel syndrome.</w:t>
            </w:r>
          </w:p>
        </w:tc>
      </w:tr>
      <w:tr w:rsidR="00390AE2" w14:paraId="57ADB61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F654E71"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C7F38AB" w14:textId="77777777" w:rsidR="00390AE2" w:rsidRDefault="00000000">
            <w:r>
              <w:rPr>
                <w:sz w:val="19"/>
                <w:szCs w:val="19"/>
              </w:rPr>
              <w:t>22 gauge</w:t>
            </w:r>
          </w:p>
        </w:tc>
      </w:tr>
      <w:tr w:rsidR="00390AE2" w14:paraId="2377F9F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E2F4C26"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378925B2" w14:textId="77777777" w:rsidR="00390AE2" w:rsidRDefault="00000000">
            <w:r>
              <w:rPr>
                <w:sz w:val="19"/>
                <w:szCs w:val="19"/>
              </w:rPr>
              <w:t>20–30 mg methylprednisolone</w:t>
            </w:r>
          </w:p>
        </w:tc>
      </w:tr>
      <w:tr w:rsidR="00390AE2" w14:paraId="390B2FD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CBDBD44"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612C48E" w14:textId="77777777" w:rsidR="00390AE2" w:rsidRDefault="00000000">
            <w:r>
              <w:rPr>
                <w:sz w:val="19"/>
                <w:szCs w:val="19"/>
              </w:rPr>
              <w:t>Patient supine, injected leg resting on the contralateral knee. Insert perpendicularly, 3 finger breadths proximal to the medial malleolus tip, flush with the posterior tibial surface, to ~1.5 cm depth. Inject under low pressure.</w:t>
            </w:r>
          </w:p>
        </w:tc>
      </w:tr>
      <w:tr w:rsidR="00390AE2" w14:paraId="5B54C90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D360930"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D0B7358" w14:textId="77777777" w:rsidR="00390AE2" w:rsidRDefault="00000000">
            <w:r>
              <w:rPr>
                <w:sz w:val="19"/>
                <w:szCs w:val="19"/>
              </w:rPr>
              <w:t xml:space="preserve">Aspirate first to exclude posterior tibial artery puncture. Plantar </w:t>
            </w:r>
            <w:proofErr w:type="spellStart"/>
            <w:r>
              <w:rPr>
                <w:sz w:val="19"/>
                <w:szCs w:val="19"/>
              </w:rPr>
              <w:t>paraesthesiae</w:t>
            </w:r>
            <w:proofErr w:type="spellEnd"/>
            <w:r>
              <w:rPr>
                <w:sz w:val="19"/>
                <w:szCs w:val="19"/>
              </w:rPr>
              <w:t xml:space="preserve"> = posterior tibial nerve — reposition immediately. Confirm free flow to avoid </w:t>
            </w:r>
            <w:proofErr w:type="spellStart"/>
            <w:r>
              <w:rPr>
                <w:sz w:val="19"/>
                <w:szCs w:val="19"/>
              </w:rPr>
              <w:t>intratendinous</w:t>
            </w:r>
            <w:proofErr w:type="spellEnd"/>
            <w:r>
              <w:rPr>
                <w:sz w:val="19"/>
                <w:szCs w:val="19"/>
              </w:rPr>
              <w:t xml:space="preserve"> injection.</w:t>
            </w:r>
          </w:p>
        </w:tc>
      </w:tr>
      <w:tr w:rsidR="00390AE2" w14:paraId="5993728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EB07452"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26B4DC6" w14:textId="77777777" w:rsidR="00390AE2" w:rsidRDefault="00000000">
            <w:r>
              <w:rPr>
                <w:sz w:val="19"/>
                <w:szCs w:val="19"/>
              </w:rPr>
              <w:t xml:space="preserve">Spontaneous posterior tibialis tendon rupture is a risk in RA — </w:t>
            </w:r>
            <w:proofErr w:type="spellStart"/>
            <w:r>
              <w:rPr>
                <w:sz w:val="19"/>
                <w:szCs w:val="19"/>
              </w:rPr>
              <w:t>intratendinous</w:t>
            </w:r>
            <w:proofErr w:type="spellEnd"/>
            <w:r>
              <w:rPr>
                <w:sz w:val="19"/>
                <w:szCs w:val="19"/>
              </w:rPr>
              <w:t xml:space="preserve"> injection markedly increases this.</w:t>
            </w:r>
          </w:p>
        </w:tc>
      </w:tr>
    </w:tbl>
    <w:p w14:paraId="089E9252"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1476EF63"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46601A5F" w14:textId="77777777" w:rsidR="00390AE2" w:rsidRDefault="00000000">
            <w:pPr>
              <w:spacing w:after="80"/>
            </w:pPr>
            <w:r>
              <w:rPr>
                <w:b/>
                <w:bCs/>
                <w:color w:val="166534"/>
                <w:sz w:val="18"/>
                <w:szCs w:val="18"/>
              </w:rPr>
              <w:t>CLINICAL NOTE</w:t>
            </w:r>
          </w:p>
          <w:p w14:paraId="6FE08C65" w14:textId="77777777" w:rsidR="00390AE2" w:rsidRDefault="00000000">
            <w:pPr>
              <w:spacing w:after="50"/>
            </w:pPr>
            <w:r>
              <w:rPr>
                <w:color w:val="166534"/>
                <w:sz w:val="19"/>
                <w:szCs w:val="19"/>
              </w:rPr>
              <w:t>This procedure should only be performed by practitioners with thorough knowledge of posterior ankle anatomy. Consider referral for ultrasound-guided injection.</w:t>
            </w:r>
          </w:p>
        </w:tc>
      </w:tr>
    </w:tbl>
    <w:p w14:paraId="31CA63A3" w14:textId="77777777" w:rsidR="00390AE2" w:rsidRDefault="00390AE2">
      <w:pPr>
        <w:spacing w:before="60"/>
      </w:pPr>
    </w:p>
    <w:p w14:paraId="3C5D204F" w14:textId="77777777" w:rsidR="00390AE2" w:rsidRDefault="00000000">
      <w:pPr>
        <w:pBdr>
          <w:bottom w:val="single" w:sz="6" w:space="3" w:color="0B8A8A"/>
        </w:pBdr>
        <w:spacing w:before="240" w:after="80"/>
      </w:pPr>
      <w:r>
        <w:rPr>
          <w:b/>
          <w:bCs/>
          <w:color w:val="1B3A52"/>
          <w:sz w:val="23"/>
          <w:szCs w:val="23"/>
        </w:rPr>
        <w:t>Retrocalcaneal Bursa</w:t>
      </w:r>
    </w:p>
    <w:tbl>
      <w:tblPr>
        <w:tblW w:w="9746" w:type="dxa"/>
        <w:tblBorders>
          <w:top w:val="single" w:sz="12" w:space="0" w:color="9B1C1C"/>
          <w:left w:val="single" w:sz="28" w:space="0" w:color="9B1C1C"/>
          <w:bottom w:val="single" w:sz="12" w:space="0" w:color="9B1C1C"/>
          <w:right w:val="single" w:sz="12" w:space="0" w:color="9B1C1C"/>
        </w:tblBorders>
        <w:tblCellMar>
          <w:top w:w="140" w:type="dxa"/>
          <w:left w:w="220" w:type="dxa"/>
          <w:bottom w:w="140" w:type="dxa"/>
          <w:right w:w="220" w:type="dxa"/>
        </w:tblCellMar>
        <w:tblLook w:val="04A0" w:firstRow="1" w:lastRow="0" w:firstColumn="1" w:lastColumn="0" w:noHBand="0" w:noVBand="1"/>
      </w:tblPr>
      <w:tblGrid>
        <w:gridCol w:w="9746"/>
      </w:tblGrid>
      <w:tr w:rsidR="00390AE2" w14:paraId="2FBC9171" w14:textId="77777777">
        <w:tc>
          <w:tcPr>
            <w:tcW w:w="9746" w:type="dxa"/>
            <w:shd w:val="clear" w:color="auto" w:fill="FEE2E2"/>
          </w:tcPr>
          <w:p w14:paraId="5BAD4419" w14:textId="77777777" w:rsidR="00390AE2" w:rsidRDefault="00000000">
            <w:pPr>
              <w:spacing w:after="80"/>
            </w:pPr>
            <w:proofErr w:type="gramStart"/>
            <w:r>
              <w:rPr>
                <w:b/>
                <w:caps/>
                <w:color w:val="9B1C1C"/>
                <w:sz w:val="18"/>
                <w:szCs w:val="18"/>
              </w:rPr>
              <w:t>🚫  NOT</w:t>
            </w:r>
            <w:proofErr w:type="gramEnd"/>
            <w:r>
              <w:rPr>
                <w:b/>
                <w:caps/>
                <w:color w:val="9B1C1C"/>
                <w:sz w:val="18"/>
                <w:szCs w:val="18"/>
              </w:rPr>
              <w:t xml:space="preserve"> RECOMMENDED FOR BLIND INJECTION — ULTRASOUND GUIDANCE MANDATORY</w:t>
            </w:r>
          </w:p>
          <w:p w14:paraId="211A6546" w14:textId="77777777" w:rsidR="00390AE2" w:rsidRDefault="00000000">
            <w:pPr>
              <w:spacing w:after="50"/>
            </w:pPr>
            <w:r>
              <w:rPr>
                <w:color w:val="9B1C1C"/>
                <w:sz w:val="19"/>
                <w:szCs w:val="19"/>
              </w:rPr>
              <w:t>Blind retrocalcaneal bursa injection must NOT be performed in primary care.</w:t>
            </w:r>
          </w:p>
          <w:p w14:paraId="0CAC0161" w14:textId="77777777" w:rsidR="00390AE2" w:rsidRDefault="00390AE2">
            <w:pPr>
              <w:spacing w:after="50"/>
            </w:pPr>
          </w:p>
          <w:p w14:paraId="3DBD9CA3" w14:textId="77777777" w:rsidR="00390AE2" w:rsidRDefault="00000000">
            <w:pPr>
              <w:spacing w:after="50"/>
            </w:pPr>
            <w:r>
              <w:rPr>
                <w:color w:val="9B1C1C"/>
                <w:sz w:val="19"/>
                <w:szCs w:val="19"/>
              </w:rPr>
              <w:t>WHY — ANATOMICAL DANGER:</w:t>
            </w:r>
          </w:p>
          <w:p w14:paraId="59717A4B" w14:textId="1269FE9E" w:rsidR="00390AE2" w:rsidRDefault="00000000">
            <w:pPr>
              <w:spacing w:after="50"/>
            </w:pPr>
            <w:r>
              <w:rPr>
                <w:color w:val="9B1C1C"/>
                <w:sz w:val="19"/>
                <w:szCs w:val="19"/>
              </w:rPr>
              <w:t xml:space="preserve">  </w:t>
            </w:r>
            <w:proofErr w:type="gramStart"/>
            <w:r>
              <w:rPr>
                <w:color w:val="9B1C1C"/>
                <w:sz w:val="19"/>
                <w:szCs w:val="19"/>
              </w:rPr>
              <w:t>▸  The</w:t>
            </w:r>
            <w:proofErr w:type="gramEnd"/>
            <w:r>
              <w:rPr>
                <w:color w:val="9B1C1C"/>
                <w:sz w:val="19"/>
                <w:szCs w:val="19"/>
              </w:rPr>
              <w:t xml:space="preserve"> retrocalcaneal bursa is separated from the Achilles tendon by a fibrocartilaginous</w:t>
            </w:r>
            <w:r w:rsidR="00D356B9">
              <w:rPr>
                <w:color w:val="9B1C1C"/>
                <w:sz w:val="19"/>
                <w:szCs w:val="19"/>
              </w:rPr>
              <w:t xml:space="preserve"> </w:t>
            </w:r>
            <w:r>
              <w:rPr>
                <w:color w:val="9B1C1C"/>
                <w:sz w:val="19"/>
                <w:szCs w:val="19"/>
              </w:rPr>
              <w:t>layer only 200 microns thick.</w:t>
            </w:r>
          </w:p>
          <w:p w14:paraId="0DD83D7F" w14:textId="10B9AF27" w:rsidR="00390AE2" w:rsidRDefault="00000000">
            <w:pPr>
              <w:spacing w:after="50"/>
            </w:pPr>
            <w:r>
              <w:rPr>
                <w:color w:val="9B1C1C"/>
                <w:sz w:val="19"/>
                <w:szCs w:val="19"/>
              </w:rPr>
              <w:t xml:space="preserve">  </w:t>
            </w:r>
            <w:proofErr w:type="gramStart"/>
            <w:r>
              <w:rPr>
                <w:color w:val="9B1C1C"/>
                <w:sz w:val="19"/>
                <w:szCs w:val="19"/>
              </w:rPr>
              <w:t>▸  Cadaveric</w:t>
            </w:r>
            <w:proofErr w:type="gramEnd"/>
            <w:r>
              <w:rPr>
                <w:color w:val="9B1C1C"/>
                <w:sz w:val="19"/>
                <w:szCs w:val="19"/>
              </w:rPr>
              <w:t xml:space="preserve"> studies show that even ultrasound-guided injections regularly cause</w:t>
            </w:r>
            <w:r w:rsidR="00D356B9">
              <w:rPr>
                <w:color w:val="9B1C1C"/>
                <w:sz w:val="19"/>
                <w:szCs w:val="19"/>
              </w:rPr>
              <w:t xml:space="preserve"> </w:t>
            </w:r>
            <w:r>
              <w:rPr>
                <w:color w:val="9B1C1C"/>
                <w:sz w:val="19"/>
                <w:szCs w:val="19"/>
              </w:rPr>
              <w:t>extravasation of injectate INTO the Achilles tendon and surrounding adipose tissue.</w:t>
            </w:r>
          </w:p>
          <w:p w14:paraId="635D6E33" w14:textId="60078D5D" w:rsidR="00390AE2" w:rsidRDefault="00000000">
            <w:pPr>
              <w:spacing w:after="50"/>
            </w:pPr>
            <w:r>
              <w:rPr>
                <w:color w:val="9B1C1C"/>
                <w:sz w:val="19"/>
                <w:szCs w:val="19"/>
              </w:rPr>
              <w:lastRenderedPageBreak/>
              <w:t xml:space="preserve">  </w:t>
            </w:r>
            <w:proofErr w:type="gramStart"/>
            <w:r>
              <w:rPr>
                <w:color w:val="9B1C1C"/>
                <w:sz w:val="19"/>
                <w:szCs w:val="19"/>
              </w:rPr>
              <w:t>▸  The</w:t>
            </w:r>
            <w:proofErr w:type="gramEnd"/>
            <w:r>
              <w:rPr>
                <w:color w:val="9B1C1C"/>
                <w:sz w:val="19"/>
                <w:szCs w:val="19"/>
              </w:rPr>
              <w:t xml:space="preserve"> NHS PGD for corticosteroid injection (2023) explicitly classifies the Achilles</w:t>
            </w:r>
            <w:r w:rsidR="00D356B9">
              <w:rPr>
                <w:color w:val="9B1C1C"/>
                <w:sz w:val="19"/>
                <w:szCs w:val="19"/>
              </w:rPr>
              <w:t xml:space="preserve"> </w:t>
            </w:r>
            <w:r>
              <w:rPr>
                <w:color w:val="9B1C1C"/>
                <w:sz w:val="19"/>
                <w:szCs w:val="19"/>
              </w:rPr>
              <w:t>tendon as an avascular area and lists it as a CONTRAINDICATION for corticosteroid</w:t>
            </w:r>
            <w:r w:rsidR="00D356B9">
              <w:rPr>
                <w:color w:val="9B1C1C"/>
                <w:sz w:val="19"/>
                <w:szCs w:val="19"/>
              </w:rPr>
              <w:t xml:space="preserve"> </w:t>
            </w:r>
            <w:r>
              <w:rPr>
                <w:color w:val="9B1C1C"/>
                <w:sz w:val="19"/>
                <w:szCs w:val="19"/>
              </w:rPr>
              <w:t>injection.</w:t>
            </w:r>
          </w:p>
          <w:p w14:paraId="0DD1E050" w14:textId="3F7E09B9" w:rsidR="00390AE2" w:rsidRDefault="00000000">
            <w:pPr>
              <w:spacing w:after="50"/>
            </w:pPr>
            <w:r>
              <w:rPr>
                <w:color w:val="9B1C1C"/>
                <w:sz w:val="19"/>
                <w:szCs w:val="19"/>
              </w:rPr>
              <w:t xml:space="preserve">  </w:t>
            </w:r>
            <w:proofErr w:type="gramStart"/>
            <w:r>
              <w:rPr>
                <w:color w:val="9B1C1C"/>
                <w:sz w:val="19"/>
                <w:szCs w:val="19"/>
              </w:rPr>
              <w:t>▸  Blind</w:t>
            </w:r>
            <w:proofErr w:type="gramEnd"/>
            <w:r>
              <w:rPr>
                <w:color w:val="9B1C1C"/>
                <w:sz w:val="19"/>
                <w:szCs w:val="19"/>
              </w:rPr>
              <w:t xml:space="preserve"> injection risks direct </w:t>
            </w:r>
            <w:proofErr w:type="spellStart"/>
            <w:r>
              <w:rPr>
                <w:color w:val="9B1C1C"/>
                <w:sz w:val="19"/>
                <w:szCs w:val="19"/>
              </w:rPr>
              <w:t>intratendinous</w:t>
            </w:r>
            <w:proofErr w:type="spellEnd"/>
            <w:r>
              <w:rPr>
                <w:color w:val="9B1C1C"/>
                <w:sz w:val="19"/>
                <w:szCs w:val="19"/>
              </w:rPr>
              <w:t xml:space="preserve"> corticosteroid deposition, which dramatically weakens tendon collagen and causes spontaneous tendon RUPTURE.</w:t>
            </w:r>
          </w:p>
          <w:p w14:paraId="479720F3" w14:textId="77777777" w:rsidR="00390AE2" w:rsidRDefault="00390AE2">
            <w:pPr>
              <w:spacing w:after="50"/>
            </w:pPr>
          </w:p>
          <w:p w14:paraId="0BD7D37C" w14:textId="77777777" w:rsidR="00390AE2" w:rsidRDefault="00000000">
            <w:pPr>
              <w:spacing w:after="50"/>
            </w:pPr>
            <w:r>
              <w:rPr>
                <w:color w:val="9B1C1C"/>
                <w:sz w:val="19"/>
                <w:szCs w:val="19"/>
              </w:rPr>
              <w:t>WHAT TO DO:</w:t>
            </w:r>
          </w:p>
          <w:p w14:paraId="71D90147" w14:textId="77777777" w:rsidR="00390AE2" w:rsidRDefault="00000000">
            <w:pPr>
              <w:spacing w:after="50"/>
            </w:pPr>
            <w:r>
              <w:rPr>
                <w:color w:val="9B1C1C"/>
                <w:sz w:val="19"/>
                <w:szCs w:val="19"/>
              </w:rPr>
              <w:t xml:space="preserve">  </w:t>
            </w:r>
            <w:proofErr w:type="gramStart"/>
            <w:r>
              <w:rPr>
                <w:color w:val="9B1C1C"/>
                <w:sz w:val="19"/>
                <w:szCs w:val="19"/>
              </w:rPr>
              <w:t>▸  Refer</w:t>
            </w:r>
            <w:proofErr w:type="gramEnd"/>
            <w:r>
              <w:rPr>
                <w:color w:val="9B1C1C"/>
                <w:sz w:val="19"/>
                <w:szCs w:val="19"/>
              </w:rPr>
              <w:t xml:space="preserve"> to an MSK ultrasound-guided injection service (radiology or rheumatology).</w:t>
            </w:r>
          </w:p>
          <w:p w14:paraId="4C28933F" w14:textId="4626EA11" w:rsidR="00390AE2" w:rsidRDefault="00000000">
            <w:pPr>
              <w:spacing w:after="50"/>
            </w:pPr>
            <w:r>
              <w:rPr>
                <w:color w:val="9B1C1C"/>
                <w:sz w:val="19"/>
                <w:szCs w:val="19"/>
              </w:rPr>
              <w:t xml:space="preserve">  </w:t>
            </w:r>
            <w:proofErr w:type="gramStart"/>
            <w:r>
              <w:rPr>
                <w:color w:val="9B1C1C"/>
                <w:sz w:val="19"/>
                <w:szCs w:val="19"/>
              </w:rPr>
              <w:t>▸  Even</w:t>
            </w:r>
            <w:proofErr w:type="gramEnd"/>
            <w:r>
              <w:rPr>
                <w:color w:val="9B1C1C"/>
                <w:sz w:val="19"/>
                <w:szCs w:val="19"/>
              </w:rPr>
              <w:t xml:space="preserve"> with ultrasound guidance this injection is technically challenging and</w:t>
            </w:r>
            <w:r w:rsidR="00D356B9">
              <w:rPr>
                <w:color w:val="9B1C1C"/>
                <w:sz w:val="19"/>
                <w:szCs w:val="19"/>
              </w:rPr>
              <w:t xml:space="preserve"> </w:t>
            </w:r>
            <w:r>
              <w:rPr>
                <w:color w:val="9B1C1C"/>
                <w:sz w:val="19"/>
                <w:szCs w:val="19"/>
              </w:rPr>
              <w:t>controversial. Ensure the specialist is aware of the rupture risk.</w:t>
            </w:r>
          </w:p>
          <w:p w14:paraId="4BA5B925" w14:textId="77777777" w:rsidR="00390AE2" w:rsidRDefault="00000000">
            <w:pPr>
              <w:spacing w:after="50"/>
            </w:pPr>
            <w:r>
              <w:rPr>
                <w:color w:val="9B1C1C"/>
                <w:sz w:val="19"/>
                <w:szCs w:val="19"/>
              </w:rPr>
              <w:t xml:space="preserve">  </w:t>
            </w:r>
            <w:proofErr w:type="gramStart"/>
            <w:r>
              <w:rPr>
                <w:color w:val="9B1C1C"/>
                <w:sz w:val="19"/>
                <w:szCs w:val="19"/>
              </w:rPr>
              <w:t>▸  First</w:t>
            </w:r>
            <w:proofErr w:type="gramEnd"/>
            <w:r>
              <w:rPr>
                <w:color w:val="9B1C1C"/>
                <w:sz w:val="19"/>
                <w:szCs w:val="19"/>
              </w:rPr>
              <w:t>-line management is physiotherapy with eccentric loading exercises.</w:t>
            </w:r>
          </w:p>
        </w:tc>
      </w:tr>
    </w:tbl>
    <w:p w14:paraId="70245D16" w14:textId="77777777" w:rsidR="00390AE2" w:rsidRDefault="00390AE2">
      <w:pPr>
        <w:spacing w:before="60"/>
      </w:pPr>
    </w:p>
    <w:p w14:paraId="3E14084F" w14:textId="77777777" w:rsidR="00390AE2" w:rsidRDefault="00390AE2">
      <w:pPr>
        <w:spacing w:before="60"/>
      </w:pPr>
    </w:p>
    <w:p w14:paraId="218F8728" w14:textId="77777777" w:rsidR="00390AE2" w:rsidRDefault="00000000">
      <w:pPr>
        <w:pBdr>
          <w:bottom w:val="single" w:sz="6" w:space="3" w:color="0B8A8A"/>
        </w:pBdr>
        <w:spacing w:before="240" w:after="80"/>
      </w:pPr>
      <w:r>
        <w:rPr>
          <w:b/>
          <w:bCs/>
          <w:color w:val="1B3A52"/>
          <w:sz w:val="23"/>
          <w:szCs w:val="23"/>
        </w:rPr>
        <w:t>Plantar Fascia Attachment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61BC574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A40D5D0"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4573C97" w14:textId="77777777" w:rsidR="00390AE2" w:rsidRDefault="00000000">
            <w:r>
              <w:rPr>
                <w:sz w:val="19"/>
                <w:szCs w:val="19"/>
              </w:rPr>
              <w:t>Refractory plantar fasciitis in spondyloarthropathies. Only if symptoms are severe and conservative management has failed for ≥ 3 months.</w:t>
            </w:r>
          </w:p>
        </w:tc>
      </w:tr>
      <w:tr w:rsidR="00390AE2" w14:paraId="4BACE9E3"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16C2FC2"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E70E277" w14:textId="77777777" w:rsidR="00390AE2" w:rsidRDefault="00000000">
            <w:r>
              <w:rPr>
                <w:sz w:val="19"/>
                <w:szCs w:val="19"/>
              </w:rPr>
              <w:t>22 gauge</w:t>
            </w:r>
          </w:p>
        </w:tc>
      </w:tr>
      <w:tr w:rsidR="00390AE2" w14:paraId="7250DBA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39590A4"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BDAC1FD" w14:textId="77777777" w:rsidR="00390AE2" w:rsidRDefault="00000000">
            <w:r>
              <w:rPr>
                <w:sz w:val="19"/>
                <w:szCs w:val="19"/>
              </w:rPr>
              <w:t>20–30 mg methylprednisolone + 2 ml 1% lidocaine</w:t>
            </w:r>
          </w:p>
        </w:tc>
      </w:tr>
      <w:tr w:rsidR="00390AE2" w14:paraId="1F58114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3078038"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1CEA335" w14:textId="77777777" w:rsidR="00390AE2" w:rsidRDefault="00000000">
            <w:r>
              <w:rPr>
                <w:sz w:val="19"/>
                <w:szCs w:val="19"/>
              </w:rPr>
              <w:t>Medial approach, needle parallel to the plantar skin, 2 cm deep to the plantar surface. Aim towards the medial plantar tubercle of the calcaneus. Rubbery resistance = fascial location. Inject deep and superficial to the fascia.</w:t>
            </w:r>
          </w:p>
        </w:tc>
      </w:tr>
      <w:tr w:rsidR="00390AE2" w14:paraId="0860730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09CAA4A"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53DA143" w14:textId="77777777" w:rsidR="00390AE2" w:rsidRDefault="00000000">
            <w:r>
              <w:rPr>
                <w:sz w:val="19"/>
                <w:szCs w:val="19"/>
              </w:rPr>
              <w:t>Requires thorough knowledge of plantar anatomy.</w:t>
            </w:r>
          </w:p>
        </w:tc>
      </w:tr>
      <w:tr w:rsidR="00390AE2" w14:paraId="1DD7A1D6"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729149A"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E0841F7" w14:textId="77777777" w:rsidR="00390AE2" w:rsidRDefault="00000000">
            <w:r>
              <w:rPr>
                <w:sz w:val="19"/>
                <w:szCs w:val="19"/>
              </w:rPr>
              <w:t>Repeated injections cause permanent plantar fat pad atrophy and pressure pain. Maximum 2 injections.</w:t>
            </w:r>
          </w:p>
        </w:tc>
      </w:tr>
    </w:tbl>
    <w:p w14:paraId="74684104"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0F5B0332"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5E933215" w14:textId="77777777" w:rsidR="00390AE2" w:rsidRDefault="00000000">
            <w:pPr>
              <w:spacing w:after="80"/>
            </w:pPr>
            <w:r>
              <w:rPr>
                <w:b/>
                <w:bCs/>
                <w:color w:val="166534"/>
                <w:sz w:val="18"/>
                <w:szCs w:val="18"/>
              </w:rPr>
              <w:t>CLINICAL NOTE</w:t>
            </w:r>
          </w:p>
          <w:p w14:paraId="4FF544BE" w14:textId="77777777" w:rsidR="00390AE2" w:rsidRDefault="00000000">
            <w:pPr>
              <w:spacing w:after="50"/>
            </w:pPr>
            <w:r>
              <w:rPr>
                <w:color w:val="166534"/>
                <w:sz w:val="19"/>
                <w:szCs w:val="19"/>
              </w:rPr>
              <w:t>Limit to a maximum of 2 injections. Fat pad atrophy is permanent and disabling. Refer for physiotherapy, orthotics, or specialist review if injection fails.</w:t>
            </w:r>
          </w:p>
        </w:tc>
      </w:tr>
    </w:tbl>
    <w:p w14:paraId="3196444C" w14:textId="77777777" w:rsidR="00390AE2" w:rsidRDefault="00390AE2">
      <w:pPr>
        <w:spacing w:before="60"/>
      </w:pPr>
    </w:p>
    <w:p w14:paraId="6CC6D4C0" w14:textId="77777777" w:rsidR="00390AE2" w:rsidRDefault="00000000">
      <w:pPr>
        <w:pBdr>
          <w:bottom w:val="single" w:sz="6" w:space="3" w:color="0B8A8A"/>
        </w:pBdr>
        <w:spacing w:before="240" w:after="80"/>
      </w:pPr>
      <w:r>
        <w:rPr>
          <w:b/>
          <w:bCs/>
          <w:color w:val="1B3A52"/>
          <w:sz w:val="23"/>
          <w:szCs w:val="23"/>
        </w:rPr>
        <w:t>Metatarsophalangeal (MTP) Joints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5951AD0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2DCABFC"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06BE9B1F" w14:textId="77777777" w:rsidR="00390AE2" w:rsidRDefault="00000000">
            <w:r>
              <w:rPr>
                <w:sz w:val="19"/>
                <w:szCs w:val="19"/>
              </w:rPr>
              <w:t>Aspiration for gout diagnosis (first MTP). Injection for hallux rigidus, RA, spondyloarthropathy.</w:t>
            </w:r>
          </w:p>
        </w:tc>
      </w:tr>
      <w:tr w:rsidR="00390AE2" w14:paraId="66C268B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D68E627"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2C522782" w14:textId="77777777" w:rsidR="00390AE2" w:rsidRDefault="00000000">
            <w:r>
              <w:rPr>
                <w:sz w:val="19"/>
                <w:szCs w:val="19"/>
              </w:rPr>
              <w:t>22–23 gauge</w:t>
            </w:r>
          </w:p>
        </w:tc>
      </w:tr>
      <w:tr w:rsidR="00390AE2" w14:paraId="210844AC"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B370632"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18F59956" w14:textId="77777777" w:rsidR="00390AE2" w:rsidRDefault="00000000">
            <w:r>
              <w:rPr>
                <w:sz w:val="19"/>
                <w:szCs w:val="19"/>
              </w:rPr>
              <w:t>10–20 mg methylprednisolone. Attempt aspiration first.</w:t>
            </w:r>
          </w:p>
        </w:tc>
      </w:tr>
      <w:tr w:rsidR="00390AE2" w14:paraId="506A29B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553F3873"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56575EE" w14:textId="77777777" w:rsidR="00390AE2" w:rsidRDefault="00000000">
            <w:r>
              <w:rPr>
                <w:sz w:val="19"/>
                <w:szCs w:val="19"/>
              </w:rPr>
              <w:t>Dorsal, lateral or medial to the extensor tendon. Slight passive plantar flexion opens the joint.</w:t>
            </w:r>
          </w:p>
        </w:tc>
      </w:tr>
      <w:tr w:rsidR="00390AE2" w14:paraId="68012A89"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3CF2DDF"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0E1F7611" w14:textId="77777777" w:rsidR="00390AE2" w:rsidRDefault="00000000">
            <w:r>
              <w:rPr>
                <w:sz w:val="19"/>
                <w:szCs w:val="19"/>
              </w:rPr>
              <w:t>None.</w:t>
            </w:r>
          </w:p>
        </w:tc>
      </w:tr>
      <w:tr w:rsidR="00390AE2" w14:paraId="39482ABD"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FC9CB19"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B814530" w14:textId="77777777" w:rsidR="00390AE2" w:rsidRDefault="00000000">
            <w:r>
              <w:rPr>
                <w:sz w:val="19"/>
                <w:szCs w:val="19"/>
              </w:rPr>
              <w:t>None.</w:t>
            </w:r>
          </w:p>
        </w:tc>
      </w:tr>
    </w:tbl>
    <w:p w14:paraId="209C6882" w14:textId="77777777" w:rsidR="00390AE2" w:rsidRDefault="00000000">
      <w:pPr>
        <w:spacing w:before="120" w:after="60"/>
        <w:jc w:val="center"/>
      </w:pPr>
      <w:r>
        <w:rPr>
          <w:noProof/>
        </w:rPr>
        <w:lastRenderedPageBreak/>
        <w:drawing>
          <wp:inline distT="0" distB="0" distL="0" distR="0" wp14:anchorId="38889BCC" wp14:editId="65072356">
            <wp:extent cx="4305300" cy="2961551"/>
            <wp:effectExtent l="0" t="0" r="0" b="0"/>
            <wp:docPr id="1696588991" name="fig22_mtp_joint.png" descr="Fig. 22  Injection of the metatarsophalangeal (MTP) joint" title="Fig. 22  Injection of the metatarsophalangeal (MTP) j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4307155" cy="2962827"/>
                    </a:xfrm>
                    <a:prstGeom prst="rect">
                      <a:avLst/>
                    </a:prstGeom>
                  </pic:spPr>
                </pic:pic>
              </a:graphicData>
            </a:graphic>
          </wp:inline>
        </w:drawing>
      </w:r>
    </w:p>
    <w:p w14:paraId="2B620085" w14:textId="77777777" w:rsidR="00390AE2" w:rsidRDefault="00000000">
      <w:pPr>
        <w:spacing w:after="120"/>
        <w:jc w:val="center"/>
      </w:pPr>
      <w:proofErr w:type="gramStart"/>
      <w:r>
        <w:rPr>
          <w:b/>
          <w:bCs/>
          <w:color w:val="0B8A8A"/>
          <w:sz w:val="18"/>
          <w:szCs w:val="18"/>
        </w:rPr>
        <w:t xml:space="preserve">▸  </w:t>
      </w:r>
      <w:r>
        <w:rPr>
          <w:i/>
          <w:iCs/>
          <w:color w:val="6B7280"/>
          <w:sz w:val="18"/>
          <w:szCs w:val="18"/>
        </w:rPr>
        <w:t>Fig.</w:t>
      </w:r>
      <w:proofErr w:type="gramEnd"/>
      <w:r>
        <w:rPr>
          <w:i/>
          <w:iCs/>
          <w:color w:val="6B7280"/>
          <w:sz w:val="18"/>
          <w:szCs w:val="18"/>
        </w:rPr>
        <w:t xml:space="preserve"> </w:t>
      </w:r>
      <w:proofErr w:type="gramStart"/>
      <w:r>
        <w:rPr>
          <w:i/>
          <w:iCs/>
          <w:color w:val="6B7280"/>
          <w:sz w:val="18"/>
          <w:szCs w:val="18"/>
        </w:rPr>
        <w:t>22  Injection</w:t>
      </w:r>
      <w:proofErr w:type="gramEnd"/>
      <w:r>
        <w:rPr>
          <w:i/>
          <w:iCs/>
          <w:color w:val="6B7280"/>
          <w:sz w:val="18"/>
          <w:szCs w:val="18"/>
        </w:rPr>
        <w:t xml:space="preserve"> of the metatarsophalangeal (MTP) joint</w:t>
      </w:r>
    </w:p>
    <w:p w14:paraId="69BAB81E" w14:textId="77777777" w:rsidR="00390AE2" w:rsidRDefault="00390AE2">
      <w:pPr>
        <w:spacing w:before="60"/>
      </w:pPr>
    </w:p>
    <w:p w14:paraId="3B3653E1" w14:textId="77777777" w:rsidR="00390AE2" w:rsidRDefault="00000000">
      <w:pPr>
        <w:pBdr>
          <w:bottom w:val="single" w:sz="6" w:space="3" w:color="0B8A8A"/>
        </w:pBdr>
        <w:spacing w:before="240" w:after="80"/>
      </w:pPr>
      <w:r>
        <w:rPr>
          <w:b/>
          <w:bCs/>
          <w:color w:val="1B3A52"/>
          <w:sz w:val="23"/>
          <w:szCs w:val="23"/>
        </w:rPr>
        <w:t>Morton's Neuroma</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66E5C663"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E3CB7AE"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A5F58FD" w14:textId="77777777" w:rsidR="00390AE2" w:rsidRDefault="00000000">
            <w:r>
              <w:rPr>
                <w:sz w:val="19"/>
                <w:szCs w:val="19"/>
              </w:rPr>
              <w:t>Confirmed Morton's neuroma causing significant forefoot pain, refractory to footwear advice, padding, and orthotics.</w:t>
            </w:r>
          </w:p>
        </w:tc>
      </w:tr>
      <w:tr w:rsidR="00390AE2" w14:paraId="66EC6324"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7F8B40F"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3B207319" w14:textId="77777777" w:rsidR="00390AE2" w:rsidRDefault="00000000">
            <w:r>
              <w:rPr>
                <w:sz w:val="19"/>
                <w:szCs w:val="19"/>
              </w:rPr>
              <w:t>22 gauge</w:t>
            </w:r>
          </w:p>
        </w:tc>
      </w:tr>
      <w:tr w:rsidR="00390AE2" w14:paraId="3110F3E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5A44CD9"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B24E278" w14:textId="77777777" w:rsidR="00390AE2" w:rsidRDefault="00000000">
            <w:r>
              <w:rPr>
                <w:sz w:val="19"/>
                <w:szCs w:val="19"/>
              </w:rPr>
              <w:t>20–30 mg methylprednisolone + 1 ml 1% lidocaine. Do NOT use high volumes.</w:t>
            </w:r>
          </w:p>
        </w:tc>
      </w:tr>
      <w:tr w:rsidR="00390AE2" w14:paraId="58F06D0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26ABF3C"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04374F78" w14:textId="77777777" w:rsidR="00390AE2" w:rsidRDefault="00000000">
            <w:r>
              <w:rPr>
                <w:sz w:val="19"/>
                <w:szCs w:val="19"/>
              </w:rPr>
              <w:t xml:space="preserve">Dorsal approach between the metatarsal heads. Advance </w:t>
            </w:r>
            <w:proofErr w:type="spellStart"/>
            <w:r>
              <w:rPr>
                <w:sz w:val="19"/>
                <w:szCs w:val="19"/>
              </w:rPr>
              <w:t>plantarly</w:t>
            </w:r>
            <w:proofErr w:type="spellEnd"/>
            <w:r>
              <w:rPr>
                <w:sz w:val="19"/>
                <w:szCs w:val="19"/>
              </w:rPr>
              <w:t xml:space="preserve"> ~2 cm through the tough intermetatarsal ligament (firm resistance then give). Inject under low pressure.</w:t>
            </w:r>
          </w:p>
        </w:tc>
      </w:tr>
      <w:tr w:rsidR="00390AE2" w14:paraId="6DD8F38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A92CB55"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0C8F3B0C" w14:textId="77777777" w:rsidR="00390AE2" w:rsidRDefault="00000000">
            <w:r>
              <w:rPr>
                <w:sz w:val="19"/>
                <w:szCs w:val="19"/>
              </w:rPr>
              <w:t>Requires precise anatomical knowledge. Refer if uncertain.</w:t>
            </w:r>
          </w:p>
        </w:tc>
      </w:tr>
      <w:tr w:rsidR="00390AE2" w14:paraId="282DB26D"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37047144"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407A2016" w14:textId="77777777" w:rsidR="00390AE2" w:rsidRDefault="00000000">
            <w:r>
              <w:rPr>
                <w:sz w:val="19"/>
                <w:szCs w:val="19"/>
              </w:rPr>
              <w:t>None expected. Maximum 2 reinjections, 2–3 weeks apart.</w:t>
            </w:r>
          </w:p>
        </w:tc>
      </w:tr>
    </w:tbl>
    <w:p w14:paraId="7C22CF8B" w14:textId="77777777" w:rsidR="00390AE2" w:rsidRDefault="00390AE2">
      <w:pPr>
        <w:spacing w:before="60"/>
      </w:pPr>
    </w:p>
    <w:p w14:paraId="5E81006E" w14:textId="77777777" w:rsidR="00390AE2" w:rsidRDefault="00000000">
      <w:pPr>
        <w:pBdr>
          <w:bottom w:val="single" w:sz="6" w:space="3" w:color="0B8A8A"/>
        </w:pBdr>
        <w:spacing w:before="240" w:after="80"/>
      </w:pPr>
      <w:r>
        <w:rPr>
          <w:b/>
          <w:bCs/>
          <w:color w:val="1B3A52"/>
          <w:sz w:val="23"/>
          <w:szCs w:val="23"/>
        </w:rPr>
        <w:t>Trigger Points (Myofascial Pain)</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55E1AA3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5FA5C66"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0B75FC4" w14:textId="77777777" w:rsidR="00390AE2" w:rsidRDefault="00000000">
            <w:r>
              <w:rPr>
                <w:sz w:val="19"/>
                <w:szCs w:val="19"/>
              </w:rPr>
              <w:t>Active myofascial trigger points — a palpable nodule that consistently reproduces the patient's pain on pressure.</w:t>
            </w:r>
          </w:p>
        </w:tc>
      </w:tr>
      <w:tr w:rsidR="00390AE2" w14:paraId="4E9CEF8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D4BA272"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9A3DE88" w14:textId="77777777" w:rsidR="00390AE2" w:rsidRDefault="00000000">
            <w:r>
              <w:rPr>
                <w:sz w:val="19"/>
                <w:szCs w:val="19"/>
              </w:rPr>
              <w:t>22 gauge</w:t>
            </w:r>
          </w:p>
        </w:tc>
      </w:tr>
      <w:tr w:rsidR="00390AE2" w14:paraId="0013B09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59F06DB" w14:textId="77777777" w:rsidR="00390AE2" w:rsidRDefault="00000000">
            <w:r>
              <w:rPr>
                <w:b/>
                <w:bCs/>
                <w:color w:val="1B3A52"/>
                <w:sz w:val="19"/>
                <w:szCs w:val="19"/>
              </w:rPr>
              <w:t>Injectate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70D6EB74" w14:textId="77777777" w:rsidR="00390AE2" w:rsidRDefault="00000000">
            <w:r>
              <w:rPr>
                <w:sz w:val="19"/>
                <w:szCs w:val="19"/>
              </w:rPr>
              <w:t>3–5 ml of 1% lidocaine or 0.25% bupivacaine. Do NOT use corticosteroid.</w:t>
            </w:r>
          </w:p>
        </w:tc>
      </w:tr>
      <w:tr w:rsidR="00390AE2" w14:paraId="4CA50C7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0E693BB0"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6238B54" w14:textId="77777777" w:rsidR="00390AE2" w:rsidRDefault="00000000">
            <w:r>
              <w:rPr>
                <w:sz w:val="19"/>
                <w:szCs w:val="19"/>
              </w:rPr>
              <w:t>Insert at the trigger point or nodule centre. Infiltrate radially throughout the indurated area (fan technique).</w:t>
            </w:r>
          </w:p>
        </w:tc>
      </w:tr>
      <w:tr w:rsidR="00390AE2" w14:paraId="1DDDDC90"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2DB4DA6" w14:textId="77777777" w:rsidR="00390AE2" w:rsidRDefault="00000000">
            <w:r>
              <w:rPr>
                <w:b/>
                <w:bCs/>
                <w:color w:val="1B3A52"/>
                <w:sz w:val="19"/>
                <w:szCs w:val="19"/>
              </w:rPr>
              <w:t>Precautions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623ECA25" w14:textId="77777777" w:rsidR="00390AE2" w:rsidRDefault="00000000">
            <w:r>
              <w:rPr>
                <w:sz w:val="19"/>
                <w:szCs w:val="19"/>
              </w:rPr>
              <w:t>None.</w:t>
            </w:r>
          </w:p>
        </w:tc>
      </w:tr>
      <w:tr w:rsidR="00390AE2" w14:paraId="78335997"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63634219"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71EBA55A" w14:textId="77777777" w:rsidR="00390AE2" w:rsidRDefault="00000000">
            <w:r>
              <w:rPr>
                <w:sz w:val="19"/>
                <w:szCs w:val="19"/>
              </w:rPr>
              <w:t>None.</w:t>
            </w:r>
          </w:p>
        </w:tc>
      </w:tr>
    </w:tbl>
    <w:p w14:paraId="6500E546"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1D4AFE84"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6E688C2A" w14:textId="77777777" w:rsidR="00390AE2" w:rsidRDefault="00000000">
            <w:pPr>
              <w:spacing w:after="80"/>
            </w:pPr>
            <w:r>
              <w:rPr>
                <w:b/>
                <w:bCs/>
                <w:color w:val="166534"/>
                <w:sz w:val="18"/>
                <w:szCs w:val="18"/>
              </w:rPr>
              <w:t>CLINICAL NOTE</w:t>
            </w:r>
          </w:p>
          <w:p w14:paraId="3BD60A04" w14:textId="77777777" w:rsidR="00390AE2" w:rsidRDefault="00000000">
            <w:pPr>
              <w:spacing w:after="50"/>
            </w:pPr>
            <w:r>
              <w:rPr>
                <w:color w:val="166534"/>
                <w:sz w:val="19"/>
                <w:szCs w:val="19"/>
              </w:rPr>
              <w:t>Dry needling (without injectate) is an alternative technique with comparable evidence. Both approaches are appropriate in primary care.</w:t>
            </w:r>
          </w:p>
        </w:tc>
      </w:tr>
    </w:tbl>
    <w:p w14:paraId="6112D73B" w14:textId="77777777" w:rsidR="00390AE2" w:rsidRDefault="00390AE2">
      <w:pPr>
        <w:spacing w:before="60"/>
      </w:pPr>
    </w:p>
    <w:p w14:paraId="2AD7E500"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38121DC1"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3779006D" w14:textId="77777777" w:rsidR="00390AE2" w:rsidRDefault="00000000">
            <w:r>
              <w:rPr>
                <w:b/>
                <w:bCs/>
                <w:color w:val="FFFFFF"/>
                <w:sz w:val="32"/>
                <w:szCs w:val="32"/>
              </w:rPr>
              <w:t>The Spine — Interspinous Ligament</w:t>
            </w:r>
          </w:p>
        </w:tc>
      </w:tr>
    </w:tbl>
    <w:p w14:paraId="2A0C4BE2" w14:textId="77777777" w:rsidR="00390AE2" w:rsidRDefault="00390AE2">
      <w:pPr>
        <w:spacing w:before="40"/>
      </w:pPr>
    </w:p>
    <w:p w14:paraId="34C7DD9E" w14:textId="77777777" w:rsidR="00390AE2" w:rsidRDefault="00000000">
      <w:pPr>
        <w:spacing w:before="80" w:after="80"/>
      </w:pPr>
      <w:r>
        <w:t>Interspinous ligament injections are occasionally used in reactive arthritis and ankylosing spondylitis with enthesopathy. This is not a routine primary care minor surgery procedure.</w:t>
      </w:r>
    </w:p>
    <w:p w14:paraId="728DB8EF" w14:textId="77777777" w:rsidR="00390AE2" w:rsidRDefault="00390AE2">
      <w:pPr>
        <w:spacing w:before="40"/>
      </w:pPr>
    </w:p>
    <w:p w14:paraId="41FC8E0D" w14:textId="77777777" w:rsidR="00390AE2" w:rsidRDefault="00000000">
      <w:pPr>
        <w:pBdr>
          <w:bottom w:val="single" w:sz="6" w:space="3" w:color="0B8A8A"/>
        </w:pBdr>
        <w:spacing w:before="240" w:after="80"/>
      </w:pPr>
      <w:r>
        <w:rPr>
          <w:b/>
          <w:bCs/>
          <w:color w:val="1B3A52"/>
          <w:sz w:val="23"/>
          <w:szCs w:val="23"/>
        </w:rPr>
        <w:t>Interspinous Ligaments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7646"/>
      </w:tblGrid>
      <w:tr w:rsidR="00390AE2" w14:paraId="73E4A1A1"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0E271DA" w14:textId="77777777" w:rsidR="00390AE2" w:rsidRDefault="00000000">
            <w:r>
              <w:rPr>
                <w:b/>
                <w:bCs/>
                <w:color w:val="1B3A52"/>
                <w:sz w:val="19"/>
                <w:szCs w:val="19"/>
              </w:rPr>
              <w:t>Indications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5A36659A" w14:textId="77777777" w:rsidR="00390AE2" w:rsidRDefault="00000000">
            <w:r>
              <w:rPr>
                <w:sz w:val="19"/>
                <w:szCs w:val="19"/>
              </w:rPr>
              <w:t>Reactive arthritis or ankylosing spondylitis with interspinous ligament enthesopathy — where other treatments have failed.</w:t>
            </w:r>
          </w:p>
        </w:tc>
      </w:tr>
      <w:tr w:rsidR="00390AE2" w14:paraId="7EB0453A"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51991C7" w14:textId="77777777" w:rsidR="00390AE2" w:rsidRDefault="00000000">
            <w:r>
              <w:rPr>
                <w:b/>
                <w:bCs/>
                <w:color w:val="1B3A52"/>
                <w:sz w:val="19"/>
                <w:szCs w:val="19"/>
              </w:rPr>
              <w:t>Needle</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0FA5589" w14:textId="77777777" w:rsidR="00390AE2" w:rsidRDefault="00000000">
            <w:r>
              <w:rPr>
                <w:sz w:val="19"/>
                <w:szCs w:val="19"/>
              </w:rPr>
              <w:t>22 gauge</w:t>
            </w:r>
          </w:p>
        </w:tc>
      </w:tr>
      <w:tr w:rsidR="00390AE2" w14:paraId="2DAE3F9E"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4B5CC7D1" w14:textId="77777777" w:rsidR="00390AE2" w:rsidRDefault="00000000">
            <w:r>
              <w:rPr>
                <w:b/>
                <w:bCs/>
                <w:color w:val="1B3A52"/>
                <w:sz w:val="19"/>
                <w:szCs w:val="19"/>
              </w:rPr>
              <w:t>Dose</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416A7F9B" w14:textId="77777777" w:rsidR="00390AE2" w:rsidRDefault="00000000">
            <w:r>
              <w:rPr>
                <w:sz w:val="19"/>
                <w:szCs w:val="19"/>
              </w:rPr>
              <w:t>15–20 mg methylprednisolone</w:t>
            </w:r>
          </w:p>
        </w:tc>
      </w:tr>
      <w:tr w:rsidR="00390AE2" w14:paraId="06AB6642"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10CB4FDE" w14:textId="77777777" w:rsidR="00390AE2" w:rsidRDefault="00000000">
            <w:r>
              <w:rPr>
                <w:b/>
                <w:bCs/>
                <w:color w:val="1B3A52"/>
                <w:sz w:val="19"/>
                <w:szCs w:val="19"/>
              </w:rPr>
              <w:t>Approach</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62C3A55A" w14:textId="77777777" w:rsidR="00390AE2" w:rsidRDefault="00000000">
            <w:r>
              <w:rPr>
                <w:sz w:val="19"/>
                <w:szCs w:val="19"/>
              </w:rPr>
              <w:t>Posteroanterior, at the midline between adjacent spinous processes. Infiltrate the ligament and its attachments. Multiple levels may be treated in one session.</w:t>
            </w:r>
          </w:p>
        </w:tc>
      </w:tr>
      <w:tr w:rsidR="00390AE2" w14:paraId="718C1C7B"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787EAF6A" w14:textId="77777777" w:rsidR="00390AE2" w:rsidRDefault="00000000">
            <w:r>
              <w:rPr>
                <w:b/>
                <w:bCs/>
                <w:color w:val="1B3A52"/>
                <w:sz w:val="19"/>
                <w:szCs w:val="19"/>
              </w:rPr>
              <w:t>Depth limit</w:t>
            </w:r>
          </w:p>
        </w:tc>
        <w:tc>
          <w:tcPr>
            <w:tcW w:w="7646" w:type="dxa"/>
            <w:tcBorders>
              <w:top w:val="single" w:sz="4" w:space="0" w:color="CBD5E1"/>
              <w:left w:val="single" w:sz="4" w:space="0" w:color="CBD5E1"/>
              <w:bottom w:val="single" w:sz="4" w:space="0" w:color="CBD5E1"/>
              <w:right w:val="single" w:sz="4" w:space="0" w:color="CBD5E1"/>
            </w:tcBorders>
            <w:shd w:val="clear" w:color="auto" w:fill="F8FAFC"/>
            <w:tcMar>
              <w:top w:w="90" w:type="dxa"/>
              <w:left w:w="140" w:type="dxa"/>
              <w:bottom w:w="90" w:type="dxa"/>
              <w:right w:w="140" w:type="dxa"/>
            </w:tcMar>
          </w:tcPr>
          <w:p w14:paraId="2F1C739D" w14:textId="77777777" w:rsidR="00390AE2" w:rsidRDefault="00000000">
            <w:r>
              <w:rPr>
                <w:sz w:val="19"/>
                <w:szCs w:val="19"/>
              </w:rPr>
              <w:t>Do NOT infiltrate deeper than 1.5 cm — this is the minimum safe distance from the dural sac.</w:t>
            </w:r>
          </w:p>
        </w:tc>
      </w:tr>
      <w:tr w:rsidR="00390AE2" w14:paraId="756723E5" w14:textId="77777777">
        <w:tblPrEx>
          <w:tblCellMar>
            <w:top w:w="0" w:type="dxa"/>
            <w:bottom w:w="0" w:type="dxa"/>
          </w:tblCellMar>
        </w:tblPrEx>
        <w:tc>
          <w:tcPr>
            <w:tcW w:w="2100" w:type="dxa"/>
            <w:tcBorders>
              <w:top w:val="single" w:sz="4" w:space="0" w:color="CBD5E1"/>
              <w:left w:val="single" w:sz="4" w:space="0" w:color="CBD5E1"/>
              <w:bottom w:val="single" w:sz="4" w:space="0" w:color="CBD5E1"/>
              <w:right w:val="single" w:sz="4" w:space="0" w:color="CBD5E1"/>
            </w:tcBorders>
            <w:shd w:val="clear" w:color="auto" w:fill="E0F5F5"/>
            <w:tcMar>
              <w:top w:w="90" w:type="dxa"/>
              <w:left w:w="140" w:type="dxa"/>
              <w:bottom w:w="90" w:type="dxa"/>
              <w:right w:w="100" w:type="dxa"/>
            </w:tcMar>
          </w:tcPr>
          <w:p w14:paraId="272DA1B5" w14:textId="77777777" w:rsidR="00390AE2" w:rsidRDefault="00000000">
            <w:r>
              <w:rPr>
                <w:b/>
                <w:bCs/>
                <w:color w:val="1B3A52"/>
                <w:sz w:val="19"/>
                <w:szCs w:val="19"/>
              </w:rPr>
              <w:t>Complications</w:t>
            </w:r>
          </w:p>
        </w:tc>
        <w:tc>
          <w:tcPr>
            <w:tcW w:w="7646" w:type="dxa"/>
            <w:tcBorders>
              <w:top w:val="single" w:sz="4" w:space="0" w:color="CBD5E1"/>
              <w:left w:val="single" w:sz="4" w:space="0" w:color="CBD5E1"/>
              <w:bottom w:val="single" w:sz="4" w:space="0" w:color="CBD5E1"/>
              <w:right w:val="single" w:sz="4" w:space="0" w:color="CBD5E1"/>
            </w:tcBorders>
            <w:shd w:val="clear" w:color="auto" w:fill="FFFFFF"/>
            <w:tcMar>
              <w:top w:w="90" w:type="dxa"/>
              <w:left w:w="140" w:type="dxa"/>
              <w:bottom w:w="90" w:type="dxa"/>
              <w:right w:w="140" w:type="dxa"/>
            </w:tcMar>
          </w:tcPr>
          <w:p w14:paraId="1CA15C85" w14:textId="77777777" w:rsidR="00390AE2" w:rsidRDefault="00000000">
            <w:r>
              <w:rPr>
                <w:sz w:val="19"/>
                <w:szCs w:val="19"/>
              </w:rPr>
              <w:t>None with correct depth control.</w:t>
            </w:r>
          </w:p>
        </w:tc>
      </w:tr>
    </w:tbl>
    <w:p w14:paraId="10D8F045"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2881D62D" w14:textId="77777777">
        <w:tblPrEx>
          <w:tblCellMar>
            <w:top w:w="0" w:type="dxa"/>
            <w:bottom w:w="0" w:type="dxa"/>
          </w:tblCellMar>
        </w:tblPrEx>
        <w:tc>
          <w:tcPr>
            <w:tcW w:w="9746" w:type="dxa"/>
            <w:tcBorders>
              <w:top w:val="single" w:sz="12" w:space="0" w:color="166534"/>
              <w:left w:val="single" w:sz="28" w:space="0" w:color="166534"/>
              <w:bottom w:val="single" w:sz="12" w:space="0" w:color="166534"/>
              <w:right w:val="single" w:sz="12" w:space="0" w:color="166534"/>
            </w:tcBorders>
            <w:shd w:val="clear" w:color="auto" w:fill="DCFCE7"/>
            <w:tcMar>
              <w:top w:w="140" w:type="dxa"/>
              <w:left w:w="220" w:type="dxa"/>
              <w:bottom w:w="140" w:type="dxa"/>
              <w:right w:w="220" w:type="dxa"/>
            </w:tcMar>
          </w:tcPr>
          <w:p w14:paraId="6D864614" w14:textId="77777777" w:rsidR="00390AE2" w:rsidRDefault="00000000">
            <w:pPr>
              <w:spacing w:after="80"/>
            </w:pPr>
            <w:r>
              <w:rPr>
                <w:b/>
                <w:bCs/>
                <w:color w:val="166534"/>
                <w:sz w:val="18"/>
                <w:szCs w:val="18"/>
              </w:rPr>
              <w:t>CLINICAL NOTE</w:t>
            </w:r>
          </w:p>
          <w:p w14:paraId="533B6440" w14:textId="77777777" w:rsidR="00390AE2" w:rsidRDefault="00000000">
            <w:pPr>
              <w:spacing w:after="50"/>
            </w:pPr>
            <w:r>
              <w:rPr>
                <w:color w:val="166534"/>
                <w:sz w:val="19"/>
                <w:szCs w:val="19"/>
              </w:rPr>
              <w:t>Do not infiltrate beyond 1.5 cm. The dural sac lies deep to this level. Inadvertent dural puncture requires urgent management.</w:t>
            </w:r>
          </w:p>
        </w:tc>
      </w:tr>
    </w:tbl>
    <w:p w14:paraId="1802378B" w14:textId="77777777" w:rsidR="00390AE2" w:rsidRDefault="00390AE2">
      <w:pPr>
        <w:spacing w:before="60"/>
      </w:pPr>
    </w:p>
    <w:tbl>
      <w:tblPr>
        <w:tblW w:w="9746" w:type="dxa"/>
        <w:tblBorders>
          <w:top w:val="single" w:sz="12" w:space="0" w:color="9B1C1C"/>
          <w:left w:val="single" w:sz="28" w:space="0" w:color="9B1C1C"/>
          <w:bottom w:val="single" w:sz="12" w:space="0" w:color="9B1C1C"/>
          <w:right w:val="single" w:sz="12" w:space="0" w:color="9B1C1C"/>
        </w:tblBorders>
        <w:tblCellMar>
          <w:top w:w="140" w:type="dxa"/>
          <w:left w:w="220" w:type="dxa"/>
          <w:bottom w:w="140" w:type="dxa"/>
          <w:right w:w="220" w:type="dxa"/>
        </w:tblCellMar>
        <w:tblLook w:val="04A0" w:firstRow="1" w:lastRow="0" w:firstColumn="1" w:lastColumn="0" w:noHBand="0" w:noVBand="1"/>
      </w:tblPr>
      <w:tblGrid>
        <w:gridCol w:w="9746"/>
      </w:tblGrid>
      <w:tr w:rsidR="00390AE2" w14:paraId="5773E185" w14:textId="77777777">
        <w:tc>
          <w:tcPr>
            <w:tcW w:w="9746" w:type="dxa"/>
            <w:shd w:val="clear" w:color="auto" w:fill="FEE2E2"/>
          </w:tcPr>
          <w:p w14:paraId="28199601" w14:textId="77777777" w:rsidR="00390AE2" w:rsidRDefault="00000000">
            <w:pPr>
              <w:spacing w:after="80"/>
            </w:pPr>
            <w:proofErr w:type="gramStart"/>
            <w:r>
              <w:rPr>
                <w:b/>
                <w:caps/>
                <w:color w:val="9B1C1C"/>
                <w:sz w:val="18"/>
                <w:szCs w:val="18"/>
              </w:rPr>
              <w:t>🚫  DO</w:t>
            </w:r>
            <w:proofErr w:type="gramEnd"/>
            <w:r>
              <w:rPr>
                <w:b/>
                <w:caps/>
                <w:color w:val="9B1C1C"/>
                <w:sz w:val="18"/>
                <w:szCs w:val="18"/>
              </w:rPr>
              <w:t xml:space="preserve"> NOT PERFORM IN PRIMARY CARE — SPECIALIST PROCEDURES ONLY</w:t>
            </w:r>
          </w:p>
          <w:p w14:paraId="2632479C" w14:textId="7B282CF1" w:rsidR="00390AE2" w:rsidRDefault="00000000">
            <w:pPr>
              <w:spacing w:after="50"/>
            </w:pPr>
            <w:r>
              <w:rPr>
                <w:color w:val="9B1C1C"/>
                <w:sz w:val="19"/>
                <w:szCs w:val="19"/>
              </w:rPr>
              <w:t>Sacroiliac joint injection, facet joint injection, and epidural steroid injection</w:t>
            </w:r>
            <w:r w:rsidR="00D356B9">
              <w:rPr>
                <w:color w:val="9B1C1C"/>
                <w:sz w:val="19"/>
                <w:szCs w:val="19"/>
              </w:rPr>
              <w:t xml:space="preserve"> </w:t>
            </w:r>
            <w:r>
              <w:rPr>
                <w:color w:val="9B1C1C"/>
                <w:sz w:val="19"/>
                <w:szCs w:val="19"/>
              </w:rPr>
              <w:t>must NEVER be performed in primary care.</w:t>
            </w:r>
          </w:p>
          <w:p w14:paraId="71F1E60A" w14:textId="77777777" w:rsidR="00390AE2" w:rsidRDefault="00390AE2">
            <w:pPr>
              <w:spacing w:after="50"/>
            </w:pPr>
          </w:p>
          <w:p w14:paraId="6812FA94" w14:textId="77777777" w:rsidR="00390AE2" w:rsidRDefault="00000000">
            <w:pPr>
              <w:spacing w:after="50"/>
            </w:pPr>
            <w:r>
              <w:rPr>
                <w:color w:val="9B1C1C"/>
                <w:sz w:val="19"/>
                <w:szCs w:val="19"/>
              </w:rPr>
              <w:t>WHY:</w:t>
            </w:r>
          </w:p>
          <w:p w14:paraId="3DAE0073" w14:textId="61A75D4A" w:rsidR="00390AE2" w:rsidRDefault="00000000">
            <w:pPr>
              <w:spacing w:after="50"/>
            </w:pPr>
            <w:r>
              <w:rPr>
                <w:color w:val="9B1C1C"/>
                <w:sz w:val="19"/>
                <w:szCs w:val="19"/>
              </w:rPr>
              <w:t xml:space="preserve">  </w:t>
            </w:r>
            <w:proofErr w:type="gramStart"/>
            <w:r>
              <w:rPr>
                <w:color w:val="9B1C1C"/>
                <w:sz w:val="19"/>
                <w:szCs w:val="19"/>
              </w:rPr>
              <w:t>▸  These</w:t>
            </w:r>
            <w:proofErr w:type="gramEnd"/>
            <w:r>
              <w:rPr>
                <w:color w:val="9B1C1C"/>
                <w:sz w:val="19"/>
                <w:szCs w:val="19"/>
              </w:rPr>
              <w:t xml:space="preserve"> are deep spinal and pelvic procedures with potentially catastrophic</w:t>
            </w:r>
            <w:r w:rsidR="00D356B9">
              <w:rPr>
                <w:color w:val="9B1C1C"/>
                <w:sz w:val="19"/>
                <w:szCs w:val="19"/>
              </w:rPr>
              <w:t xml:space="preserve"> </w:t>
            </w:r>
            <w:r>
              <w:rPr>
                <w:color w:val="9B1C1C"/>
                <w:sz w:val="19"/>
                <w:szCs w:val="19"/>
              </w:rPr>
              <w:t xml:space="preserve">complication profiles: epidural haematoma, spinal cord injury, </w:t>
            </w:r>
            <w:proofErr w:type="spellStart"/>
            <w:proofErr w:type="gramStart"/>
            <w:r>
              <w:rPr>
                <w:color w:val="9B1C1C"/>
                <w:sz w:val="19"/>
                <w:szCs w:val="19"/>
              </w:rPr>
              <w:t>arachnoiditis,dural</w:t>
            </w:r>
            <w:proofErr w:type="spellEnd"/>
            <w:proofErr w:type="gramEnd"/>
            <w:r>
              <w:rPr>
                <w:color w:val="9B1C1C"/>
                <w:sz w:val="19"/>
                <w:szCs w:val="19"/>
              </w:rPr>
              <w:t xml:space="preserve"> puncture, systemic infection, and permanent neurological injury.</w:t>
            </w:r>
          </w:p>
          <w:p w14:paraId="0A12E044" w14:textId="42349FC5" w:rsidR="00390AE2" w:rsidRDefault="00000000">
            <w:pPr>
              <w:spacing w:after="50"/>
            </w:pPr>
            <w:r>
              <w:rPr>
                <w:color w:val="9B1C1C"/>
                <w:sz w:val="19"/>
                <w:szCs w:val="19"/>
              </w:rPr>
              <w:t xml:space="preserve">  </w:t>
            </w:r>
            <w:proofErr w:type="gramStart"/>
            <w:r>
              <w:rPr>
                <w:color w:val="9B1C1C"/>
                <w:sz w:val="19"/>
                <w:szCs w:val="19"/>
              </w:rPr>
              <w:t>▸  They</w:t>
            </w:r>
            <w:proofErr w:type="gramEnd"/>
            <w:r>
              <w:rPr>
                <w:color w:val="9B1C1C"/>
                <w:sz w:val="19"/>
                <w:szCs w:val="19"/>
              </w:rPr>
              <w:t xml:space="preserve"> require real-time fluoroscopic or CT imaging guidance to confirm needl</w:t>
            </w:r>
            <w:r w:rsidR="00D356B9">
              <w:rPr>
                <w:color w:val="9B1C1C"/>
                <w:sz w:val="19"/>
                <w:szCs w:val="19"/>
              </w:rPr>
              <w:t>e</w:t>
            </w:r>
            <w:r>
              <w:rPr>
                <w:color w:val="9B1C1C"/>
                <w:sz w:val="19"/>
                <w:szCs w:val="19"/>
              </w:rPr>
              <w:t xml:space="preserve"> placement. Blind injection is absolutely contraindicated by all specialist</w:t>
            </w:r>
            <w:r w:rsidR="00D356B9">
              <w:rPr>
                <w:color w:val="9B1C1C"/>
                <w:sz w:val="19"/>
                <w:szCs w:val="19"/>
              </w:rPr>
              <w:t xml:space="preserve"> </w:t>
            </w:r>
            <w:r>
              <w:rPr>
                <w:color w:val="9B1C1C"/>
                <w:sz w:val="19"/>
                <w:szCs w:val="19"/>
              </w:rPr>
              <w:t>society guidelines.</w:t>
            </w:r>
          </w:p>
          <w:p w14:paraId="4FF5AFD0" w14:textId="3140B377" w:rsidR="00390AE2" w:rsidRDefault="00000000">
            <w:pPr>
              <w:spacing w:after="50"/>
            </w:pPr>
            <w:r>
              <w:rPr>
                <w:color w:val="9B1C1C"/>
                <w:sz w:val="19"/>
                <w:szCs w:val="19"/>
              </w:rPr>
              <w:t xml:space="preserve">  </w:t>
            </w:r>
            <w:proofErr w:type="gramStart"/>
            <w:r>
              <w:rPr>
                <w:color w:val="9B1C1C"/>
                <w:sz w:val="19"/>
                <w:szCs w:val="19"/>
              </w:rPr>
              <w:t>▸  These</w:t>
            </w:r>
            <w:proofErr w:type="gramEnd"/>
            <w:r>
              <w:rPr>
                <w:color w:val="9B1C1C"/>
                <w:sz w:val="19"/>
                <w:szCs w:val="19"/>
              </w:rPr>
              <w:t xml:space="preserve"> procedures fall entirely within the scope of interventional radiology, pain medicine, and spinal anaesthetics — not primary care minor surgery.</w:t>
            </w:r>
          </w:p>
          <w:p w14:paraId="1F66AB96" w14:textId="77777777" w:rsidR="00390AE2" w:rsidRDefault="00390AE2">
            <w:pPr>
              <w:spacing w:after="50"/>
            </w:pPr>
          </w:p>
          <w:p w14:paraId="3A2924C1" w14:textId="3CD7BD82" w:rsidR="00390AE2" w:rsidRDefault="00000000">
            <w:pPr>
              <w:spacing w:after="50"/>
            </w:pPr>
            <w:r>
              <w:rPr>
                <w:color w:val="9B1C1C"/>
                <w:sz w:val="19"/>
                <w:szCs w:val="19"/>
              </w:rPr>
              <w:t>WHAT TO DO: Refer to a specialist pain clinic, spinal anaesthetics service, o</w:t>
            </w:r>
            <w:r w:rsidR="00D356B9">
              <w:rPr>
                <w:color w:val="9B1C1C"/>
                <w:sz w:val="19"/>
                <w:szCs w:val="19"/>
              </w:rPr>
              <w:t xml:space="preserve">r </w:t>
            </w:r>
            <w:r>
              <w:rPr>
                <w:color w:val="9B1C1C"/>
                <w:sz w:val="19"/>
                <w:szCs w:val="19"/>
              </w:rPr>
              <w:t>interventional radiology. Do not attempt these procedures under any circumstances.</w:t>
            </w:r>
          </w:p>
        </w:tc>
      </w:tr>
    </w:tbl>
    <w:p w14:paraId="139F8A41" w14:textId="77777777" w:rsidR="00390AE2" w:rsidRDefault="00390AE2">
      <w:pPr>
        <w:spacing w:before="40"/>
      </w:pPr>
    </w:p>
    <w:p w14:paraId="6A879868" w14:textId="3B8E0748" w:rsidR="00D356B9" w:rsidRDefault="00D356B9">
      <w:r>
        <w:br w:type="page"/>
      </w:r>
    </w:p>
    <w:p w14:paraId="52BA33F1"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588F632B"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6EEEC1D8" w14:textId="77777777" w:rsidR="00390AE2" w:rsidRDefault="00000000">
            <w:r>
              <w:rPr>
                <w:b/>
                <w:bCs/>
                <w:color w:val="FFFFFF"/>
                <w:sz w:val="32"/>
                <w:szCs w:val="32"/>
              </w:rPr>
              <w:t>Summary Safety Reference</w:t>
            </w:r>
          </w:p>
        </w:tc>
      </w:tr>
    </w:tbl>
    <w:p w14:paraId="0FDC5173"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1C476076"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122D60AD"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71E293A7" w14:textId="77777777" w:rsidR="00390AE2" w:rsidRDefault="00000000">
            <w:r>
              <w:rPr>
                <w:b/>
                <w:bCs/>
                <w:color w:val="0B8A8A"/>
                <w:sz w:val="26"/>
                <w:szCs w:val="26"/>
              </w:rPr>
              <w:t>Red Flags — Do Not Inject; Refer Urgently</w:t>
            </w:r>
          </w:p>
        </w:tc>
      </w:tr>
    </w:tbl>
    <w:p w14:paraId="794C4CD4"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3DAAB50B" w14:textId="77777777">
        <w:tblPrEx>
          <w:tblCellMar>
            <w:top w:w="0" w:type="dxa"/>
            <w:bottom w:w="0" w:type="dxa"/>
          </w:tblCellMar>
        </w:tblPrEx>
        <w:tc>
          <w:tcPr>
            <w:tcW w:w="9746" w:type="dxa"/>
            <w:tcBorders>
              <w:top w:val="single" w:sz="12" w:space="0" w:color="9B1C1C"/>
              <w:left w:val="single" w:sz="28" w:space="0" w:color="9B1C1C"/>
              <w:bottom w:val="single" w:sz="12" w:space="0" w:color="9B1C1C"/>
              <w:right w:val="single" w:sz="12" w:space="0" w:color="9B1C1C"/>
            </w:tcBorders>
            <w:shd w:val="clear" w:color="auto" w:fill="FEE2E2"/>
            <w:tcMar>
              <w:top w:w="140" w:type="dxa"/>
              <w:left w:w="220" w:type="dxa"/>
              <w:bottom w:w="140" w:type="dxa"/>
              <w:right w:w="220" w:type="dxa"/>
            </w:tcMar>
          </w:tcPr>
          <w:p w14:paraId="7F2C6988" w14:textId="77777777" w:rsidR="00390AE2" w:rsidRDefault="00000000">
            <w:pPr>
              <w:spacing w:after="80"/>
            </w:pPr>
            <w:proofErr w:type="gramStart"/>
            <w:r>
              <w:rPr>
                <w:b/>
                <w:bCs/>
                <w:color w:val="9B1C1C"/>
                <w:sz w:val="18"/>
                <w:szCs w:val="18"/>
              </w:rPr>
              <w:t>🔴  URGENT</w:t>
            </w:r>
            <w:proofErr w:type="gramEnd"/>
            <w:r>
              <w:rPr>
                <w:b/>
                <w:bCs/>
                <w:color w:val="9B1C1C"/>
                <w:sz w:val="18"/>
                <w:szCs w:val="18"/>
              </w:rPr>
              <w:t xml:space="preserve"> — DO NOT INJECT</w:t>
            </w:r>
          </w:p>
          <w:p w14:paraId="65D984CF" w14:textId="77777777" w:rsidR="00390AE2" w:rsidRDefault="00000000">
            <w:pPr>
              <w:spacing w:after="50"/>
            </w:pPr>
            <w:r>
              <w:rPr>
                <w:color w:val="9B1C1C"/>
                <w:sz w:val="19"/>
                <w:szCs w:val="19"/>
              </w:rPr>
              <w:t>Hot, swollen, acutely painful joint with systemic features (fever, rigors, raised CRP/WBC) — MUST aspirate; send for urgent MC&amp;S. Do NOT inject corticosteroid until infection excluded.</w:t>
            </w:r>
          </w:p>
          <w:p w14:paraId="64C8E385" w14:textId="77777777" w:rsidR="00390AE2" w:rsidRDefault="00000000">
            <w:pPr>
              <w:spacing w:after="50"/>
            </w:pPr>
            <w:r>
              <w:rPr>
                <w:color w:val="9B1C1C"/>
                <w:sz w:val="19"/>
                <w:szCs w:val="19"/>
              </w:rPr>
              <w:t>Post-injection joint with increasing pain and swelling after 48 hours, or new systemic symptoms — suspect iatrogenic septic arthritis. Urgent re-aspiration, blood cultures, same-day emergency referral.</w:t>
            </w:r>
          </w:p>
          <w:p w14:paraId="09CD5BDB" w14:textId="77777777" w:rsidR="00390AE2" w:rsidRDefault="00000000">
            <w:pPr>
              <w:spacing w:after="50"/>
            </w:pPr>
            <w:r>
              <w:rPr>
                <w:color w:val="9B1C1C"/>
                <w:sz w:val="19"/>
                <w:szCs w:val="19"/>
              </w:rPr>
              <w:t>Any prosthetic joint — do NOT aspirate or inject in primary care. Refer to orthopaedics.</w:t>
            </w:r>
          </w:p>
          <w:p w14:paraId="2649A1AC" w14:textId="77777777" w:rsidR="00390AE2" w:rsidRDefault="00000000">
            <w:pPr>
              <w:spacing w:after="50"/>
            </w:pPr>
            <w:r>
              <w:rPr>
                <w:color w:val="9B1C1C"/>
                <w:sz w:val="19"/>
                <w:szCs w:val="19"/>
              </w:rPr>
              <w:t>Progressive neurological symptoms, motor weakness, or bilateral limb symptoms — urgent referral before any injection.</w:t>
            </w:r>
          </w:p>
          <w:p w14:paraId="71CC1767" w14:textId="77777777" w:rsidR="00390AE2" w:rsidRDefault="00000000">
            <w:pPr>
              <w:spacing w:after="50"/>
            </w:pPr>
            <w:r>
              <w:rPr>
                <w:color w:val="9B1C1C"/>
                <w:sz w:val="19"/>
                <w:szCs w:val="19"/>
              </w:rPr>
              <w:t>Suspected malignancy as a cause of swelling — urgent 2-week wait referral.</w:t>
            </w:r>
          </w:p>
        </w:tc>
      </w:tr>
    </w:tbl>
    <w:p w14:paraId="58F02CC1"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4A03B970"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10F1C614"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26489834" w14:textId="77777777" w:rsidR="00390AE2" w:rsidRDefault="00000000">
            <w:r>
              <w:rPr>
                <w:b/>
                <w:bCs/>
                <w:color w:val="0B8A8A"/>
                <w:sz w:val="26"/>
                <w:szCs w:val="26"/>
              </w:rPr>
              <w:t>Maximum Injection Frequency — UK Consensus</w:t>
            </w:r>
          </w:p>
        </w:tc>
      </w:tr>
    </w:tbl>
    <w:p w14:paraId="0BEDE085"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2600"/>
        <w:gridCol w:w="4746"/>
      </w:tblGrid>
      <w:tr w:rsidR="00390AE2" w14:paraId="06FD8932" w14:textId="77777777">
        <w:tblPrEx>
          <w:tblCellMar>
            <w:top w:w="0" w:type="dxa"/>
            <w:bottom w:w="0" w:type="dxa"/>
          </w:tblCellMar>
        </w:tblPrEx>
        <w:trPr>
          <w:tblHeader/>
        </w:trPr>
        <w:tc>
          <w:tcPr>
            <w:tcW w:w="24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3FCB1832" w14:textId="77777777" w:rsidR="00390AE2" w:rsidRDefault="00000000">
            <w:r>
              <w:rPr>
                <w:b/>
                <w:bCs/>
                <w:color w:val="FFFFFF"/>
                <w:sz w:val="18"/>
                <w:szCs w:val="18"/>
              </w:rPr>
              <w:t>Joint / Structure</w:t>
            </w:r>
          </w:p>
        </w:tc>
        <w:tc>
          <w:tcPr>
            <w:tcW w:w="26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6D6C13BF" w14:textId="77777777" w:rsidR="00390AE2" w:rsidRDefault="00000000">
            <w:r>
              <w:rPr>
                <w:b/>
                <w:bCs/>
                <w:color w:val="FFFFFF"/>
                <w:sz w:val="18"/>
                <w:szCs w:val="18"/>
              </w:rPr>
              <w:t>Recommended Maximum</w:t>
            </w:r>
          </w:p>
        </w:tc>
        <w:tc>
          <w:tcPr>
            <w:tcW w:w="4746"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663E8191" w14:textId="77777777" w:rsidR="00390AE2" w:rsidRDefault="00000000">
            <w:r>
              <w:rPr>
                <w:b/>
                <w:bCs/>
                <w:color w:val="FFFFFF"/>
                <w:sz w:val="18"/>
                <w:szCs w:val="18"/>
              </w:rPr>
              <w:t>Rationale</w:t>
            </w:r>
          </w:p>
        </w:tc>
      </w:tr>
      <w:tr w:rsidR="00390AE2" w14:paraId="4EF3F011"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784FDC2" w14:textId="77777777" w:rsidR="00390AE2" w:rsidRDefault="00000000">
            <w:r>
              <w:rPr>
                <w:sz w:val="18"/>
                <w:szCs w:val="18"/>
              </w:rPr>
              <w:t>Any single joint</w:t>
            </w:r>
          </w:p>
        </w:tc>
        <w:tc>
          <w:tcPr>
            <w:tcW w:w="2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407D6F7" w14:textId="77777777" w:rsidR="00390AE2" w:rsidRDefault="00000000">
            <w:r>
              <w:rPr>
                <w:sz w:val="18"/>
                <w:szCs w:val="18"/>
              </w:rPr>
              <w:t>3–4 per year maximum</w:t>
            </w:r>
          </w:p>
        </w:tc>
        <w:tc>
          <w:tcPr>
            <w:tcW w:w="4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BCE9341" w14:textId="77777777" w:rsidR="00390AE2" w:rsidRDefault="00000000">
            <w:r>
              <w:rPr>
                <w:sz w:val="18"/>
                <w:szCs w:val="18"/>
              </w:rPr>
              <w:t>Corticosteroid arthropathy risk with repeated use</w:t>
            </w:r>
          </w:p>
        </w:tc>
      </w:tr>
      <w:tr w:rsidR="00390AE2" w14:paraId="30C9106D"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F4D92A4" w14:textId="77777777" w:rsidR="00390AE2" w:rsidRDefault="00000000">
            <w:r>
              <w:rPr>
                <w:sz w:val="18"/>
                <w:szCs w:val="18"/>
              </w:rPr>
              <w:t>Knee (OA)</w:t>
            </w:r>
          </w:p>
        </w:tc>
        <w:tc>
          <w:tcPr>
            <w:tcW w:w="26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5DFF8EF1" w14:textId="77777777" w:rsidR="00390AE2" w:rsidRDefault="00000000">
            <w:r>
              <w:rPr>
                <w:sz w:val="18"/>
                <w:szCs w:val="18"/>
              </w:rPr>
              <w:t>3 per year — balance benefit vs risk</w:t>
            </w:r>
          </w:p>
        </w:tc>
        <w:tc>
          <w:tcPr>
            <w:tcW w:w="4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01BAD03" w14:textId="77777777" w:rsidR="00390AE2" w:rsidRDefault="00000000">
            <w:r>
              <w:rPr>
                <w:sz w:val="18"/>
                <w:szCs w:val="18"/>
              </w:rPr>
              <w:t>NICE NG226: short-term benefit only (2–10 weeks)</w:t>
            </w:r>
          </w:p>
        </w:tc>
      </w:tr>
      <w:tr w:rsidR="00390AE2" w14:paraId="793D952C"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C87F240" w14:textId="77777777" w:rsidR="00390AE2" w:rsidRDefault="00000000">
            <w:r>
              <w:rPr>
                <w:sz w:val="18"/>
                <w:szCs w:val="18"/>
              </w:rPr>
              <w:t>Plantar fascia</w:t>
            </w:r>
          </w:p>
        </w:tc>
        <w:tc>
          <w:tcPr>
            <w:tcW w:w="26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665541E" w14:textId="77777777" w:rsidR="00390AE2" w:rsidRDefault="00000000">
            <w:r>
              <w:rPr>
                <w:sz w:val="18"/>
                <w:szCs w:val="18"/>
              </w:rPr>
              <w:t>2 total</w:t>
            </w:r>
          </w:p>
        </w:tc>
        <w:tc>
          <w:tcPr>
            <w:tcW w:w="4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858FF0E" w14:textId="77777777" w:rsidR="00390AE2" w:rsidRDefault="00000000">
            <w:r>
              <w:rPr>
                <w:sz w:val="18"/>
                <w:szCs w:val="18"/>
              </w:rPr>
              <w:t>Fat pad atrophy is permanent</w:t>
            </w:r>
          </w:p>
        </w:tc>
      </w:tr>
      <w:tr w:rsidR="00390AE2" w14:paraId="0CC5A680"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A90B810" w14:textId="77777777" w:rsidR="00390AE2" w:rsidRDefault="00000000">
            <w:r>
              <w:rPr>
                <w:sz w:val="18"/>
                <w:szCs w:val="18"/>
              </w:rPr>
              <w:t>Carpal tunnel</w:t>
            </w:r>
          </w:p>
        </w:tc>
        <w:tc>
          <w:tcPr>
            <w:tcW w:w="2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CF21A0D" w14:textId="77777777" w:rsidR="00390AE2" w:rsidRDefault="00000000">
            <w:r>
              <w:rPr>
                <w:sz w:val="18"/>
                <w:szCs w:val="18"/>
              </w:rPr>
              <w:t>2–3 before surgical referral</w:t>
            </w:r>
          </w:p>
        </w:tc>
        <w:tc>
          <w:tcPr>
            <w:tcW w:w="4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EDE2F33" w14:textId="77777777" w:rsidR="00390AE2" w:rsidRDefault="00000000">
            <w:r>
              <w:rPr>
                <w:sz w:val="18"/>
                <w:szCs w:val="18"/>
              </w:rPr>
              <w:t>Refer after 2 injections if symptoms recur</w:t>
            </w:r>
          </w:p>
        </w:tc>
      </w:tr>
      <w:tr w:rsidR="00390AE2" w14:paraId="030A0CA7"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591305A" w14:textId="77777777" w:rsidR="00390AE2" w:rsidRDefault="00000000">
            <w:r>
              <w:rPr>
                <w:sz w:val="18"/>
                <w:szCs w:val="18"/>
              </w:rPr>
              <w:t>Trigger finger</w:t>
            </w:r>
          </w:p>
        </w:tc>
        <w:tc>
          <w:tcPr>
            <w:tcW w:w="26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DF8BAD8" w14:textId="77777777" w:rsidR="00390AE2" w:rsidRDefault="00000000">
            <w:r>
              <w:rPr>
                <w:sz w:val="18"/>
                <w:szCs w:val="18"/>
              </w:rPr>
              <w:t>3 before surgical referral</w:t>
            </w:r>
          </w:p>
        </w:tc>
        <w:tc>
          <w:tcPr>
            <w:tcW w:w="4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A24DB9E" w14:textId="77777777" w:rsidR="00390AE2" w:rsidRDefault="00000000">
            <w:r>
              <w:rPr>
                <w:sz w:val="18"/>
                <w:szCs w:val="18"/>
              </w:rPr>
              <w:t>Refer for A1 pulley release if still symptomatic</w:t>
            </w:r>
          </w:p>
        </w:tc>
      </w:tr>
      <w:tr w:rsidR="00390AE2" w14:paraId="7BA9CA90"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3940463" w14:textId="77777777" w:rsidR="00390AE2" w:rsidRDefault="00000000">
            <w:r>
              <w:rPr>
                <w:sz w:val="18"/>
                <w:szCs w:val="18"/>
              </w:rPr>
              <w:t>Tennis elbow</w:t>
            </w:r>
          </w:p>
        </w:tc>
        <w:tc>
          <w:tcPr>
            <w:tcW w:w="26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07919C4" w14:textId="77777777" w:rsidR="00390AE2" w:rsidRDefault="00000000">
            <w:r>
              <w:rPr>
                <w:sz w:val="18"/>
                <w:szCs w:val="18"/>
              </w:rPr>
              <w:t>1 injection maximum</w:t>
            </w:r>
          </w:p>
        </w:tc>
        <w:tc>
          <w:tcPr>
            <w:tcW w:w="4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0DE4FD7" w14:textId="77777777" w:rsidR="00390AE2" w:rsidRDefault="00000000">
            <w:r>
              <w:rPr>
                <w:sz w:val="18"/>
                <w:szCs w:val="18"/>
              </w:rPr>
              <w:t>Evidence: worse outcomes at 12 months</w:t>
            </w:r>
          </w:p>
        </w:tc>
      </w:tr>
    </w:tbl>
    <w:p w14:paraId="3BCCDFE3"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
        <w:gridCol w:w="9646"/>
      </w:tblGrid>
      <w:tr w:rsidR="00390AE2" w14:paraId="0AD0F8D6" w14:textId="77777777">
        <w:tblPrEx>
          <w:tblCellMar>
            <w:top w:w="0" w:type="dxa"/>
            <w:bottom w:w="0" w:type="dxa"/>
          </w:tblCellMar>
        </w:tblPrEx>
        <w:tc>
          <w:tcPr>
            <w:tcW w:w="100" w:type="dxa"/>
            <w:tcBorders>
              <w:top w:val="none" w:sz="0" w:space="0" w:color="FFFFFF"/>
              <w:left w:val="none" w:sz="0" w:space="0" w:color="FFFFFF"/>
              <w:bottom w:val="none" w:sz="0" w:space="0" w:color="FFFFFF"/>
              <w:right w:val="none" w:sz="0" w:space="0" w:color="FFFFFF"/>
            </w:tcBorders>
            <w:shd w:val="clear" w:color="auto" w:fill="0B8A8A"/>
          </w:tcPr>
          <w:p w14:paraId="3DB5DEC2" w14:textId="77777777" w:rsidR="00390AE2" w:rsidRDefault="00390AE2"/>
        </w:tc>
        <w:tc>
          <w:tcPr>
            <w:tcW w:w="9646" w:type="dxa"/>
            <w:tcBorders>
              <w:top w:val="none" w:sz="0" w:space="0" w:color="FFFFFF"/>
              <w:left w:val="none" w:sz="0" w:space="0" w:color="FFFFFF"/>
              <w:bottom w:val="none" w:sz="0" w:space="0" w:color="FFFFFF"/>
              <w:right w:val="none" w:sz="0" w:space="0" w:color="FFFFFF"/>
            </w:tcBorders>
            <w:shd w:val="clear" w:color="auto" w:fill="E0F5F5"/>
            <w:tcMar>
              <w:top w:w="100" w:type="dxa"/>
              <w:left w:w="200" w:type="dxa"/>
              <w:bottom w:w="100" w:type="dxa"/>
              <w:right w:w="200" w:type="dxa"/>
            </w:tcMar>
          </w:tcPr>
          <w:p w14:paraId="052F8369" w14:textId="77777777" w:rsidR="00390AE2" w:rsidRDefault="00000000">
            <w:r>
              <w:rPr>
                <w:b/>
                <w:bCs/>
                <w:color w:val="0B8A8A"/>
                <w:sz w:val="26"/>
                <w:szCs w:val="26"/>
              </w:rPr>
              <w:t>Drug &amp; Dose Quick Reference</w:t>
            </w:r>
          </w:p>
        </w:tc>
      </w:tr>
    </w:tbl>
    <w:p w14:paraId="0DE6EB3C" w14:textId="77777777" w:rsidR="00390AE2" w:rsidRDefault="00390AE2">
      <w:pPr>
        <w:spacing w:before="4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1400"/>
        <w:gridCol w:w="2200"/>
        <w:gridCol w:w="3746"/>
      </w:tblGrid>
      <w:tr w:rsidR="00390AE2" w14:paraId="3D4EC15A" w14:textId="77777777">
        <w:tblPrEx>
          <w:tblCellMar>
            <w:top w:w="0" w:type="dxa"/>
            <w:bottom w:w="0" w:type="dxa"/>
          </w:tblCellMar>
        </w:tblPrEx>
        <w:trPr>
          <w:tblHeader/>
        </w:trPr>
        <w:tc>
          <w:tcPr>
            <w:tcW w:w="24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6EDB06D4" w14:textId="77777777" w:rsidR="00390AE2" w:rsidRDefault="00000000">
            <w:r>
              <w:rPr>
                <w:b/>
                <w:bCs/>
                <w:color w:val="FFFFFF"/>
                <w:sz w:val="18"/>
                <w:szCs w:val="18"/>
              </w:rPr>
              <w:t>Joint / Structure</w:t>
            </w:r>
          </w:p>
        </w:tc>
        <w:tc>
          <w:tcPr>
            <w:tcW w:w="14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63A1EF65" w14:textId="77777777" w:rsidR="00390AE2" w:rsidRDefault="00000000">
            <w:r>
              <w:rPr>
                <w:b/>
                <w:bCs/>
                <w:color w:val="FFFFFF"/>
                <w:sz w:val="18"/>
                <w:szCs w:val="18"/>
              </w:rPr>
              <w:t>Needle</w:t>
            </w:r>
          </w:p>
        </w:tc>
        <w:tc>
          <w:tcPr>
            <w:tcW w:w="2200"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5669E39C" w14:textId="77777777" w:rsidR="00390AE2" w:rsidRDefault="00000000">
            <w:r>
              <w:rPr>
                <w:b/>
                <w:bCs/>
                <w:color w:val="FFFFFF"/>
                <w:sz w:val="18"/>
                <w:szCs w:val="18"/>
              </w:rPr>
              <w:t>Dose (methylprednisolone)</w:t>
            </w:r>
          </w:p>
        </w:tc>
        <w:tc>
          <w:tcPr>
            <w:tcW w:w="3746" w:type="dxa"/>
            <w:tcBorders>
              <w:top w:val="none" w:sz="0" w:space="0" w:color="FFFFFF"/>
              <w:left w:val="none" w:sz="0" w:space="0" w:color="FFFFFF"/>
              <w:bottom w:val="none" w:sz="0" w:space="0" w:color="FFFFFF"/>
              <w:right w:val="none" w:sz="0" w:space="0" w:color="FFFFFF"/>
            </w:tcBorders>
            <w:shd w:val="clear" w:color="auto" w:fill="1B3A52"/>
            <w:tcMar>
              <w:top w:w="80" w:type="dxa"/>
              <w:left w:w="130" w:type="dxa"/>
              <w:bottom w:w="80" w:type="dxa"/>
              <w:right w:w="100" w:type="dxa"/>
            </w:tcMar>
            <w:vAlign w:val="center"/>
          </w:tcPr>
          <w:p w14:paraId="374DC36B" w14:textId="77777777" w:rsidR="00390AE2" w:rsidRDefault="00000000">
            <w:r>
              <w:rPr>
                <w:b/>
                <w:bCs/>
                <w:color w:val="FFFFFF"/>
                <w:sz w:val="18"/>
                <w:szCs w:val="18"/>
              </w:rPr>
              <w:t>Notes</w:t>
            </w:r>
          </w:p>
        </w:tc>
      </w:tr>
      <w:tr w:rsidR="00390AE2" w14:paraId="38123308"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15C7F9A" w14:textId="77777777" w:rsidR="00390AE2" w:rsidRDefault="00000000">
            <w:r>
              <w:rPr>
                <w:sz w:val="18"/>
                <w:szCs w:val="18"/>
              </w:rPr>
              <w:t>Finger / MCP / PIP</w:t>
            </w:r>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497EB9F" w14:textId="77777777" w:rsidR="00390AE2" w:rsidRDefault="00000000">
            <w:r>
              <w:rPr>
                <w:sz w:val="18"/>
                <w:szCs w:val="18"/>
              </w:rPr>
              <w:t>25–27g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33700D6" w14:textId="77777777" w:rsidR="00390AE2" w:rsidRDefault="00000000">
            <w:r>
              <w:rPr>
                <w:sz w:val="18"/>
                <w:szCs w:val="18"/>
              </w:rPr>
              <w:t>10–15 mg</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027F5EC" w14:textId="77777777" w:rsidR="00390AE2" w:rsidRDefault="00390AE2"/>
        </w:tc>
      </w:tr>
      <w:tr w:rsidR="00390AE2" w14:paraId="0120F206"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D3C7AA5" w14:textId="77777777" w:rsidR="00390AE2" w:rsidRDefault="00000000">
            <w:r>
              <w:rPr>
                <w:sz w:val="18"/>
                <w:szCs w:val="18"/>
              </w:rPr>
              <w:t>Flexor tendon sheath</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0439E363" w14:textId="77777777" w:rsidR="00390AE2" w:rsidRDefault="00000000">
            <w:r>
              <w:rPr>
                <w:sz w:val="18"/>
                <w:szCs w:val="18"/>
              </w:rPr>
              <w:t>25–27g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BD4FF78" w14:textId="77777777" w:rsidR="00390AE2" w:rsidRDefault="00000000">
            <w:r>
              <w:rPr>
                <w:sz w:val="18"/>
                <w:szCs w:val="18"/>
              </w:rPr>
              <w:t>15–20 mg + 1–2 ml lidocaine</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5596267" w14:textId="77777777" w:rsidR="00390AE2" w:rsidRDefault="00000000">
            <w:r>
              <w:rPr>
                <w:sz w:val="18"/>
                <w:szCs w:val="18"/>
              </w:rPr>
              <w:t>Max 3 injections</w:t>
            </w:r>
          </w:p>
        </w:tc>
      </w:tr>
      <w:tr w:rsidR="00390AE2" w14:paraId="67559705"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7F1732B" w14:textId="77777777" w:rsidR="00390AE2" w:rsidRDefault="00000000">
            <w:r>
              <w:rPr>
                <w:sz w:val="18"/>
                <w:szCs w:val="18"/>
              </w:rPr>
              <w:t xml:space="preserve">De </w:t>
            </w:r>
            <w:proofErr w:type="spellStart"/>
            <w:r>
              <w:rPr>
                <w:sz w:val="18"/>
                <w:szCs w:val="18"/>
              </w:rPr>
              <w:t>Quervain's</w:t>
            </w:r>
            <w:proofErr w:type="spellEnd"/>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4DC3228" w14:textId="77777777" w:rsidR="00390AE2" w:rsidRDefault="00000000">
            <w:r>
              <w:rPr>
                <w:sz w:val="18"/>
                <w:szCs w:val="18"/>
              </w:rPr>
              <w:t>25g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E7CFF4B" w14:textId="77777777" w:rsidR="00390AE2" w:rsidRDefault="00000000">
            <w:r>
              <w:rPr>
                <w:sz w:val="18"/>
                <w:szCs w:val="18"/>
              </w:rPr>
              <w:t>20–30 mg</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C5AED7D" w14:textId="77777777" w:rsidR="00390AE2" w:rsidRDefault="00000000">
            <w:r>
              <w:rPr>
                <w:sz w:val="18"/>
                <w:szCs w:val="18"/>
              </w:rPr>
              <w:t>Methylprednisolone only</w:t>
            </w:r>
          </w:p>
        </w:tc>
      </w:tr>
      <w:tr w:rsidR="00390AE2" w14:paraId="77560112"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598F8703" w14:textId="77777777" w:rsidR="00390AE2" w:rsidRDefault="00000000">
            <w:r>
              <w:rPr>
                <w:sz w:val="18"/>
                <w:szCs w:val="18"/>
              </w:rPr>
              <w:t>Carpal tunnel</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23B6304" w14:textId="77777777" w:rsidR="00390AE2" w:rsidRDefault="00000000">
            <w:r>
              <w:rPr>
                <w:sz w:val="18"/>
                <w:szCs w:val="18"/>
              </w:rPr>
              <w:t>22–25g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6B5283FE" w14:textId="77777777" w:rsidR="00390AE2" w:rsidRDefault="00000000">
            <w:r>
              <w:rPr>
                <w:sz w:val="18"/>
                <w:szCs w:val="18"/>
              </w:rPr>
              <w:t>20–40 mg</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579E84B5" w14:textId="77777777" w:rsidR="00390AE2" w:rsidRDefault="00000000">
            <w:r>
              <w:rPr>
                <w:sz w:val="18"/>
                <w:szCs w:val="18"/>
              </w:rPr>
              <w:t>Refer after 2 injections</w:t>
            </w:r>
          </w:p>
        </w:tc>
      </w:tr>
      <w:tr w:rsidR="00390AE2" w14:paraId="16291ECE"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9741044" w14:textId="77777777" w:rsidR="00390AE2" w:rsidRDefault="00000000">
            <w:r>
              <w:rPr>
                <w:sz w:val="18"/>
                <w:szCs w:val="18"/>
              </w:rPr>
              <w:t>First CMC joint</w:t>
            </w:r>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4A0DCF1" w14:textId="77777777" w:rsidR="00390AE2" w:rsidRDefault="00000000">
            <w:r>
              <w:rPr>
                <w:sz w:val="18"/>
                <w:szCs w:val="18"/>
              </w:rPr>
              <w:t>23–25g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A48D408" w14:textId="77777777" w:rsidR="00390AE2" w:rsidRDefault="00000000">
            <w:r>
              <w:rPr>
                <w:sz w:val="18"/>
                <w:szCs w:val="18"/>
              </w:rPr>
              <w:t>15–30 mg</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6FAFF82" w14:textId="77777777" w:rsidR="00390AE2" w:rsidRDefault="00390AE2"/>
        </w:tc>
      </w:tr>
      <w:tr w:rsidR="00390AE2" w14:paraId="1A893760"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28F92FC" w14:textId="77777777" w:rsidR="00390AE2" w:rsidRDefault="00000000">
            <w:r>
              <w:rPr>
                <w:sz w:val="18"/>
                <w:szCs w:val="18"/>
              </w:rPr>
              <w:t>Wrist joint</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906B8B2" w14:textId="77777777" w:rsidR="00390AE2" w:rsidRDefault="00000000">
            <w:r>
              <w:rPr>
                <w:sz w:val="18"/>
                <w:szCs w:val="18"/>
              </w:rPr>
              <w:t>23g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1E854C3" w14:textId="77777777" w:rsidR="00390AE2" w:rsidRDefault="00000000">
            <w:r>
              <w:rPr>
                <w:sz w:val="18"/>
                <w:szCs w:val="18"/>
              </w:rPr>
              <w:t>30–40 mg</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9089D59" w14:textId="77777777" w:rsidR="00390AE2" w:rsidRDefault="00390AE2"/>
        </w:tc>
      </w:tr>
      <w:tr w:rsidR="00390AE2" w14:paraId="72B3ED0E"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D1E21C3" w14:textId="77777777" w:rsidR="00390AE2" w:rsidRDefault="00000000">
            <w:r>
              <w:rPr>
                <w:sz w:val="18"/>
                <w:szCs w:val="18"/>
              </w:rPr>
              <w:t>Elbow joint</w:t>
            </w:r>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801FF0C"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FA23497" w14:textId="77777777" w:rsidR="00390AE2" w:rsidRDefault="00000000">
            <w:r>
              <w:rPr>
                <w:sz w:val="18"/>
                <w:szCs w:val="18"/>
              </w:rPr>
              <w:t>30–40 mg</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CC87EC4" w14:textId="77777777" w:rsidR="00390AE2" w:rsidRDefault="00390AE2"/>
        </w:tc>
      </w:tr>
      <w:tr w:rsidR="00390AE2" w14:paraId="76C576F0"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B9A39B4" w14:textId="77777777" w:rsidR="00390AE2" w:rsidRDefault="00000000">
            <w:r>
              <w:rPr>
                <w:sz w:val="18"/>
                <w:szCs w:val="18"/>
              </w:rPr>
              <w:t>Olecranon bursa</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66A4A5E6"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557D5DF7" w14:textId="77777777" w:rsidR="00390AE2" w:rsidRDefault="00000000">
            <w:r>
              <w:rPr>
                <w:sz w:val="18"/>
                <w:szCs w:val="18"/>
              </w:rPr>
              <w:t>20 mg</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58ABEC5" w14:textId="77777777" w:rsidR="00390AE2" w:rsidRDefault="00000000">
            <w:r>
              <w:rPr>
                <w:sz w:val="18"/>
                <w:szCs w:val="18"/>
              </w:rPr>
              <w:t>Methylprednisolone only</w:t>
            </w:r>
          </w:p>
        </w:tc>
      </w:tr>
      <w:tr w:rsidR="00390AE2" w14:paraId="4ABC5E65"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070BA32" w14:textId="77777777" w:rsidR="00390AE2" w:rsidRDefault="00000000">
            <w:r>
              <w:rPr>
                <w:sz w:val="18"/>
                <w:szCs w:val="18"/>
              </w:rPr>
              <w:t>Tennis elbow</w:t>
            </w:r>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FA3BDF2"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7BAC614" w14:textId="77777777" w:rsidR="00390AE2" w:rsidRDefault="00000000">
            <w:r>
              <w:rPr>
                <w:sz w:val="18"/>
                <w:szCs w:val="18"/>
              </w:rPr>
              <w:t>10–20 mg</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34DCCF3" w14:textId="77777777" w:rsidR="00390AE2" w:rsidRDefault="00000000">
            <w:r>
              <w:rPr>
                <w:sz w:val="18"/>
                <w:szCs w:val="18"/>
              </w:rPr>
              <w:t>Max 1 injection</w:t>
            </w:r>
          </w:p>
        </w:tc>
      </w:tr>
      <w:tr w:rsidR="00390AE2" w14:paraId="558DD5CD"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77E138C" w14:textId="77777777" w:rsidR="00390AE2" w:rsidRDefault="00000000">
            <w:r>
              <w:rPr>
                <w:sz w:val="18"/>
                <w:szCs w:val="18"/>
              </w:rPr>
              <w:t>Glenohumeral joint</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AC0A6F1"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BD15786" w14:textId="77777777" w:rsidR="00390AE2" w:rsidRDefault="00000000">
            <w:r>
              <w:rPr>
                <w:sz w:val="18"/>
                <w:szCs w:val="18"/>
              </w:rPr>
              <w:t>40–60 mg</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9177FC7" w14:textId="77777777" w:rsidR="00390AE2" w:rsidRDefault="00000000">
            <w:r>
              <w:rPr>
                <w:sz w:val="18"/>
                <w:szCs w:val="18"/>
              </w:rPr>
              <w:t>Seated; assistant essential</w:t>
            </w:r>
          </w:p>
        </w:tc>
      </w:tr>
      <w:tr w:rsidR="00390AE2" w14:paraId="4C6AF227"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D4FF184" w14:textId="77777777" w:rsidR="00390AE2" w:rsidRDefault="00000000">
            <w:r>
              <w:rPr>
                <w:sz w:val="18"/>
                <w:szCs w:val="18"/>
              </w:rPr>
              <w:t>Subacromial bursa</w:t>
            </w:r>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EF118D7" w14:textId="77777777" w:rsidR="00390AE2" w:rsidRDefault="00000000">
            <w:r>
              <w:rPr>
                <w:sz w:val="18"/>
                <w:szCs w:val="18"/>
              </w:rPr>
              <w:t>22–25g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252B950" w14:textId="77777777" w:rsidR="00390AE2" w:rsidRDefault="00000000">
            <w:r>
              <w:rPr>
                <w:sz w:val="18"/>
                <w:szCs w:val="18"/>
              </w:rPr>
              <w:t>30–40 mg</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A9BF74B" w14:textId="77777777" w:rsidR="00390AE2" w:rsidRDefault="00000000">
            <w:r>
              <w:rPr>
                <w:sz w:val="18"/>
                <w:szCs w:val="18"/>
              </w:rPr>
              <w:t>Seated; assistant essential</w:t>
            </w:r>
          </w:p>
        </w:tc>
      </w:tr>
      <w:tr w:rsidR="00390AE2" w14:paraId="01154EB4"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DD8B063" w14:textId="77777777" w:rsidR="00390AE2" w:rsidRDefault="00000000">
            <w:r>
              <w:rPr>
                <w:sz w:val="18"/>
                <w:szCs w:val="18"/>
              </w:rPr>
              <w:lastRenderedPageBreak/>
              <w:t>AC joint</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CF3A739" w14:textId="77777777" w:rsidR="00390AE2" w:rsidRDefault="00000000">
            <w:r>
              <w:rPr>
                <w:sz w:val="18"/>
                <w:szCs w:val="18"/>
              </w:rPr>
              <w:t>23g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6A6306B4" w14:textId="77777777" w:rsidR="00390AE2" w:rsidRDefault="00000000">
            <w:r>
              <w:rPr>
                <w:sz w:val="18"/>
                <w:szCs w:val="18"/>
              </w:rPr>
              <w:t>10–20 mg</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4050ECA" w14:textId="77777777" w:rsidR="00390AE2" w:rsidRDefault="00390AE2"/>
        </w:tc>
      </w:tr>
      <w:tr w:rsidR="00390AE2" w14:paraId="647C4883"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978F17C" w14:textId="77777777" w:rsidR="00390AE2" w:rsidRDefault="00000000">
            <w:r>
              <w:rPr>
                <w:sz w:val="18"/>
                <w:szCs w:val="18"/>
              </w:rPr>
              <w:t>Trochanteric bursa (GTPS)</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FD4EE54" w14:textId="77777777" w:rsidR="00390AE2" w:rsidRDefault="00000000">
            <w:r>
              <w:rPr>
                <w:sz w:val="18"/>
                <w:szCs w:val="18"/>
              </w:rPr>
              <w:t>22g 1.5"</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6C7C80C" w14:textId="77777777" w:rsidR="00390AE2" w:rsidRDefault="00000000">
            <w:r>
              <w:rPr>
                <w:sz w:val="18"/>
                <w:szCs w:val="18"/>
              </w:rPr>
              <w:t>30–40 mg + 3 ml lidocaine</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952470A" w14:textId="77777777" w:rsidR="00390AE2" w:rsidRDefault="00000000">
            <w:r>
              <w:rPr>
                <w:sz w:val="18"/>
                <w:szCs w:val="18"/>
              </w:rPr>
              <w:t>Spinal needle if obese</w:t>
            </w:r>
          </w:p>
        </w:tc>
      </w:tr>
      <w:tr w:rsidR="00390AE2" w14:paraId="1A744B06"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0EF6A96D" w14:textId="77777777" w:rsidR="00390AE2" w:rsidRDefault="00000000">
            <w:r>
              <w:rPr>
                <w:sz w:val="18"/>
                <w:szCs w:val="18"/>
              </w:rPr>
              <w:t>Knee joint</w:t>
            </w:r>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27CE7A4A"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7362B7F" w14:textId="77777777" w:rsidR="00390AE2" w:rsidRDefault="00000000">
            <w:r>
              <w:rPr>
                <w:sz w:val="18"/>
                <w:szCs w:val="18"/>
              </w:rPr>
              <w:t>40–60 mg</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42F6CF9" w14:textId="77777777" w:rsidR="00390AE2" w:rsidRDefault="00000000">
            <w:r>
              <w:rPr>
                <w:sz w:val="18"/>
                <w:szCs w:val="18"/>
              </w:rPr>
              <w:t>NICE NG226</w:t>
            </w:r>
          </w:p>
        </w:tc>
      </w:tr>
      <w:tr w:rsidR="00390AE2" w14:paraId="26C5C150"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A6EF25A" w14:textId="77777777" w:rsidR="00390AE2" w:rsidRDefault="00000000">
            <w:r>
              <w:rPr>
                <w:sz w:val="18"/>
                <w:szCs w:val="18"/>
              </w:rPr>
              <w:t>Anserine bursa</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0D546A59"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A809159" w14:textId="77777777" w:rsidR="00390AE2" w:rsidRDefault="00000000">
            <w:r>
              <w:rPr>
                <w:sz w:val="18"/>
                <w:szCs w:val="18"/>
              </w:rPr>
              <w:t>20–30 mg + 2–3 ml lidocaine</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1550C4D" w14:textId="77777777" w:rsidR="00390AE2" w:rsidRDefault="00390AE2"/>
        </w:tc>
      </w:tr>
      <w:tr w:rsidR="00390AE2" w14:paraId="52A882B2"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0B95DDA7" w14:textId="77777777" w:rsidR="00390AE2" w:rsidRDefault="00000000">
            <w:r>
              <w:rPr>
                <w:sz w:val="18"/>
                <w:szCs w:val="18"/>
              </w:rPr>
              <w:t>Ankle joint</w:t>
            </w:r>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0F64FD01"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04ABEB8" w14:textId="77777777" w:rsidR="00390AE2" w:rsidRDefault="00000000">
            <w:r>
              <w:rPr>
                <w:sz w:val="18"/>
                <w:szCs w:val="18"/>
              </w:rPr>
              <w:t>40–60 mg</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3E836AE4" w14:textId="77777777" w:rsidR="00390AE2" w:rsidRDefault="00390AE2"/>
        </w:tc>
      </w:tr>
      <w:tr w:rsidR="00390AE2" w14:paraId="1C545B6D"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5AAC6A6" w14:textId="77777777" w:rsidR="00390AE2" w:rsidRDefault="00000000">
            <w:r>
              <w:rPr>
                <w:sz w:val="18"/>
                <w:szCs w:val="18"/>
              </w:rPr>
              <w:t>Subtalar joint</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3939BEF"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70D1DA31" w14:textId="77777777" w:rsidR="00390AE2" w:rsidRDefault="00000000">
            <w:r>
              <w:rPr>
                <w:sz w:val="18"/>
                <w:szCs w:val="18"/>
              </w:rPr>
              <w:t>20–30 mg</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3DAC76BF" w14:textId="77777777" w:rsidR="00390AE2" w:rsidRDefault="00390AE2"/>
        </w:tc>
      </w:tr>
      <w:tr w:rsidR="00390AE2" w14:paraId="4F905A5A"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6B44167F" w14:textId="77777777" w:rsidR="00390AE2" w:rsidRDefault="00000000">
            <w:r>
              <w:rPr>
                <w:sz w:val="18"/>
                <w:szCs w:val="18"/>
              </w:rPr>
              <w:t>Plantar fascia</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E20054B"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D77CB2A" w14:textId="77777777" w:rsidR="00390AE2" w:rsidRDefault="00000000">
            <w:r>
              <w:rPr>
                <w:sz w:val="18"/>
                <w:szCs w:val="18"/>
              </w:rPr>
              <w:t>20–30 mg + 2 ml lidocaine</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17B9D796" w14:textId="77777777" w:rsidR="00390AE2" w:rsidRDefault="00000000">
            <w:r>
              <w:rPr>
                <w:sz w:val="18"/>
                <w:szCs w:val="18"/>
              </w:rPr>
              <w:t>Max 2 injections</w:t>
            </w:r>
          </w:p>
        </w:tc>
      </w:tr>
      <w:tr w:rsidR="00390AE2" w14:paraId="1708AEC9"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6FE705C2" w14:textId="77777777" w:rsidR="00390AE2" w:rsidRDefault="00000000">
            <w:r>
              <w:rPr>
                <w:sz w:val="18"/>
                <w:szCs w:val="18"/>
              </w:rPr>
              <w:t>MTP joint</w:t>
            </w:r>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0CD4E63B" w14:textId="77777777" w:rsidR="00390AE2" w:rsidRDefault="00000000">
            <w:r>
              <w:rPr>
                <w:sz w:val="18"/>
                <w:szCs w:val="18"/>
              </w:rPr>
              <w:t>22–23g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5E91178F" w14:textId="77777777" w:rsidR="00390AE2" w:rsidRDefault="00000000">
            <w:r>
              <w:rPr>
                <w:sz w:val="18"/>
                <w:szCs w:val="18"/>
              </w:rPr>
              <w:t>10–20 mg</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7F41B6A4" w14:textId="77777777" w:rsidR="00390AE2" w:rsidRDefault="00390AE2"/>
        </w:tc>
      </w:tr>
      <w:tr w:rsidR="00390AE2" w14:paraId="678DCE45"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3261C94" w14:textId="77777777" w:rsidR="00390AE2" w:rsidRDefault="00000000">
            <w:r>
              <w:rPr>
                <w:sz w:val="18"/>
                <w:szCs w:val="18"/>
              </w:rPr>
              <w:t>Morton's neuroma</w:t>
            </w:r>
          </w:p>
        </w:tc>
        <w:tc>
          <w:tcPr>
            <w:tcW w:w="14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28231F27"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666ED649" w14:textId="77777777" w:rsidR="00390AE2" w:rsidRDefault="00000000">
            <w:r>
              <w:rPr>
                <w:sz w:val="18"/>
                <w:szCs w:val="18"/>
              </w:rPr>
              <w:t>20–30 mg + 1 ml lidocaine</w:t>
            </w:r>
          </w:p>
        </w:tc>
        <w:tc>
          <w:tcPr>
            <w:tcW w:w="3746" w:type="dxa"/>
            <w:tcBorders>
              <w:top w:val="single" w:sz="4" w:space="0" w:color="CBD5E1"/>
              <w:left w:val="single" w:sz="4" w:space="0" w:color="CBD5E1"/>
              <w:bottom w:val="single" w:sz="4" w:space="0" w:color="CBD5E1"/>
              <w:right w:val="single" w:sz="4" w:space="0" w:color="CBD5E1"/>
            </w:tcBorders>
            <w:shd w:val="clear" w:color="auto" w:fill="FFFFFF"/>
            <w:tcMar>
              <w:top w:w="70" w:type="dxa"/>
              <w:left w:w="130" w:type="dxa"/>
              <w:bottom w:w="70" w:type="dxa"/>
              <w:right w:w="100" w:type="dxa"/>
            </w:tcMar>
          </w:tcPr>
          <w:p w14:paraId="451F946C" w14:textId="77777777" w:rsidR="00390AE2" w:rsidRDefault="00000000">
            <w:r>
              <w:rPr>
                <w:sz w:val="18"/>
                <w:szCs w:val="18"/>
              </w:rPr>
              <w:t>Max 2 reinjections</w:t>
            </w:r>
          </w:p>
        </w:tc>
      </w:tr>
      <w:tr w:rsidR="00390AE2" w14:paraId="1A8AF21A" w14:textId="77777777">
        <w:tblPrEx>
          <w:tblCellMar>
            <w:top w:w="0" w:type="dxa"/>
            <w:bottom w:w="0" w:type="dxa"/>
          </w:tblCellMar>
        </w:tblPrEx>
        <w:tc>
          <w:tcPr>
            <w:tcW w:w="2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62F2181" w14:textId="77777777" w:rsidR="00390AE2" w:rsidRDefault="00000000">
            <w:r>
              <w:rPr>
                <w:sz w:val="18"/>
                <w:szCs w:val="18"/>
              </w:rPr>
              <w:t>Trigger points</w:t>
            </w:r>
          </w:p>
        </w:tc>
        <w:tc>
          <w:tcPr>
            <w:tcW w:w="14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925360C" w14:textId="77777777" w:rsidR="00390AE2" w:rsidRDefault="00000000">
            <w:r>
              <w:rPr>
                <w:sz w:val="18"/>
                <w:szCs w:val="18"/>
              </w:rPr>
              <w:t>22g</w:t>
            </w:r>
          </w:p>
        </w:tc>
        <w:tc>
          <w:tcPr>
            <w:tcW w:w="2200"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43971837" w14:textId="77777777" w:rsidR="00390AE2" w:rsidRDefault="00000000">
            <w:r>
              <w:rPr>
                <w:sz w:val="18"/>
                <w:szCs w:val="18"/>
              </w:rPr>
              <w:t>Lidocaine 3–5 ml only</w:t>
            </w:r>
          </w:p>
        </w:tc>
        <w:tc>
          <w:tcPr>
            <w:tcW w:w="3746" w:type="dxa"/>
            <w:tcBorders>
              <w:top w:val="single" w:sz="4" w:space="0" w:color="CBD5E1"/>
              <w:left w:val="single" w:sz="4" w:space="0" w:color="CBD5E1"/>
              <w:bottom w:val="single" w:sz="4" w:space="0" w:color="CBD5E1"/>
              <w:right w:val="single" w:sz="4" w:space="0" w:color="CBD5E1"/>
            </w:tcBorders>
            <w:shd w:val="clear" w:color="auto" w:fill="F8FAFC"/>
            <w:tcMar>
              <w:top w:w="70" w:type="dxa"/>
              <w:left w:w="130" w:type="dxa"/>
              <w:bottom w:w="70" w:type="dxa"/>
              <w:right w:w="100" w:type="dxa"/>
            </w:tcMar>
          </w:tcPr>
          <w:p w14:paraId="1688D61E" w14:textId="77777777" w:rsidR="00390AE2" w:rsidRDefault="00000000">
            <w:r>
              <w:rPr>
                <w:sz w:val="18"/>
                <w:szCs w:val="18"/>
              </w:rPr>
              <w:t>NO corticosteroid</w:t>
            </w:r>
          </w:p>
        </w:tc>
      </w:tr>
    </w:tbl>
    <w:p w14:paraId="5F768192" w14:textId="77777777" w:rsidR="00390AE2" w:rsidRDefault="00390AE2">
      <w:pPr>
        <w:spacing w:before="40"/>
      </w:pPr>
    </w:p>
    <w:p w14:paraId="6055ABBC" w14:textId="77777777" w:rsidR="00390AE2" w:rsidRDefault="00390AE2">
      <w:pPr>
        <w:spacing w:before="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06EC8690"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280" w:type="dxa"/>
              <w:bottom w:w="160" w:type="dxa"/>
              <w:right w:w="280" w:type="dxa"/>
            </w:tcMar>
          </w:tcPr>
          <w:p w14:paraId="51AA2223" w14:textId="77777777" w:rsidR="00390AE2" w:rsidRDefault="00000000">
            <w:r>
              <w:rPr>
                <w:b/>
                <w:bCs/>
                <w:color w:val="FFFFFF"/>
                <w:sz w:val="32"/>
                <w:szCs w:val="32"/>
              </w:rPr>
              <w:t>References &amp; Guidance Sources</w:t>
            </w:r>
          </w:p>
        </w:tc>
      </w:tr>
    </w:tbl>
    <w:p w14:paraId="3AF300BA" w14:textId="77777777" w:rsidR="00390AE2" w:rsidRDefault="00390AE2">
      <w:pPr>
        <w:spacing w:before="40"/>
      </w:pPr>
    </w:p>
    <w:p w14:paraId="176FC52D" w14:textId="77777777" w:rsidR="00390AE2" w:rsidRDefault="00000000">
      <w:pPr>
        <w:spacing w:before="80" w:after="80"/>
      </w:pPr>
      <w:r>
        <w:t>This guide has been updated against the following primary sources. Always check for the most current version before clinical use.</w:t>
      </w:r>
    </w:p>
    <w:p w14:paraId="35EC0E83" w14:textId="77777777" w:rsidR="00390AE2" w:rsidRDefault="00390AE2">
      <w:pPr>
        <w:spacing w:before="60"/>
      </w:pPr>
    </w:p>
    <w:p w14:paraId="3BF59626" w14:textId="77777777" w:rsidR="00390AE2" w:rsidRDefault="00000000">
      <w:pPr>
        <w:spacing w:before="50" w:after="50"/>
        <w:ind w:left="480" w:hanging="480"/>
      </w:pPr>
      <w:r>
        <w:rPr>
          <w:b/>
          <w:bCs/>
          <w:color w:val="0B8A8A"/>
          <w:sz w:val="18"/>
          <w:szCs w:val="18"/>
        </w:rPr>
        <w:t xml:space="preserve">1.  </w:t>
      </w:r>
      <w:r>
        <w:rPr>
          <w:sz w:val="18"/>
          <w:szCs w:val="18"/>
        </w:rPr>
        <w:t>NICE NG226 (2022). Osteoarthritis in over 16s: diagnosis and management. nice.org.uk/guidance/ng226</w:t>
      </w:r>
    </w:p>
    <w:p w14:paraId="578E127C" w14:textId="77777777" w:rsidR="00390AE2" w:rsidRDefault="00000000">
      <w:pPr>
        <w:spacing w:before="50" w:after="50"/>
        <w:ind w:left="480" w:hanging="480"/>
      </w:pPr>
      <w:r>
        <w:rPr>
          <w:b/>
          <w:bCs/>
          <w:color w:val="0B8A8A"/>
          <w:sz w:val="18"/>
          <w:szCs w:val="18"/>
        </w:rPr>
        <w:t xml:space="preserve">2.  </w:t>
      </w:r>
      <w:r>
        <w:rPr>
          <w:sz w:val="18"/>
          <w:szCs w:val="18"/>
        </w:rPr>
        <w:t>NICE CKS. Tennis elbow (updated 2024). cks.nice.org.uk/topics/tennis-elbow</w:t>
      </w:r>
    </w:p>
    <w:p w14:paraId="0068015B" w14:textId="77777777" w:rsidR="00390AE2" w:rsidRDefault="00000000">
      <w:pPr>
        <w:spacing w:before="50" w:after="50"/>
        <w:ind w:left="480" w:hanging="480"/>
      </w:pPr>
      <w:r>
        <w:rPr>
          <w:b/>
          <w:bCs/>
          <w:color w:val="0B8A8A"/>
          <w:sz w:val="18"/>
          <w:szCs w:val="18"/>
        </w:rPr>
        <w:t xml:space="preserve">3.  </w:t>
      </w:r>
      <w:r>
        <w:rPr>
          <w:sz w:val="18"/>
          <w:szCs w:val="18"/>
        </w:rPr>
        <w:t>NICE CKS. Carpal tunnel syndrome. cks.nice.org.uk/topics/carpal-tunnel-syndrome</w:t>
      </w:r>
    </w:p>
    <w:p w14:paraId="3108BF86" w14:textId="77777777" w:rsidR="00390AE2" w:rsidRDefault="00000000">
      <w:pPr>
        <w:spacing w:before="50" w:after="50"/>
        <w:ind w:left="480" w:hanging="480"/>
      </w:pPr>
      <w:r>
        <w:rPr>
          <w:b/>
          <w:bCs/>
          <w:color w:val="0B8A8A"/>
          <w:sz w:val="18"/>
          <w:szCs w:val="18"/>
        </w:rPr>
        <w:t xml:space="preserve">4.  </w:t>
      </w:r>
      <w:r>
        <w:rPr>
          <w:sz w:val="18"/>
          <w:szCs w:val="18"/>
        </w:rPr>
        <w:t>NICE CKS. Trigger finger. cks.nice.org.uk/topics/trigger-finger</w:t>
      </w:r>
    </w:p>
    <w:p w14:paraId="37A84BC0" w14:textId="77777777" w:rsidR="00390AE2" w:rsidRDefault="00000000">
      <w:pPr>
        <w:spacing w:before="50" w:after="50"/>
        <w:ind w:left="480" w:hanging="480"/>
      </w:pPr>
      <w:r>
        <w:rPr>
          <w:b/>
          <w:bCs/>
          <w:color w:val="0B8A8A"/>
          <w:sz w:val="18"/>
          <w:szCs w:val="18"/>
        </w:rPr>
        <w:t xml:space="preserve">5.  </w:t>
      </w:r>
      <w:r>
        <w:rPr>
          <w:sz w:val="18"/>
          <w:szCs w:val="18"/>
        </w:rPr>
        <w:t>NICE CKS. Shoulder pain (updated 2023). cks.nice.org.uk</w:t>
      </w:r>
    </w:p>
    <w:p w14:paraId="4E6EE555" w14:textId="77777777" w:rsidR="00390AE2" w:rsidRDefault="00000000">
      <w:pPr>
        <w:spacing w:before="50" w:after="50"/>
        <w:ind w:left="480" w:hanging="480"/>
      </w:pPr>
      <w:r>
        <w:rPr>
          <w:b/>
          <w:bCs/>
          <w:color w:val="0B8A8A"/>
          <w:sz w:val="18"/>
          <w:szCs w:val="18"/>
        </w:rPr>
        <w:t xml:space="preserve">6.  </w:t>
      </w:r>
      <w:r>
        <w:rPr>
          <w:sz w:val="18"/>
          <w:szCs w:val="18"/>
        </w:rPr>
        <w:t>BNF. Corticosteroids — local injections. bnf.nice.org.uk</w:t>
      </w:r>
    </w:p>
    <w:p w14:paraId="0F60CCE4" w14:textId="77777777" w:rsidR="00390AE2" w:rsidRDefault="00000000">
      <w:pPr>
        <w:spacing w:before="50" w:after="50"/>
        <w:ind w:left="480" w:hanging="480"/>
      </w:pPr>
      <w:r>
        <w:rPr>
          <w:b/>
          <w:bCs/>
          <w:color w:val="0B8A8A"/>
          <w:sz w:val="18"/>
          <w:szCs w:val="18"/>
        </w:rPr>
        <w:t xml:space="preserve">7.  </w:t>
      </w:r>
      <w:proofErr w:type="spellStart"/>
      <w:r>
        <w:rPr>
          <w:sz w:val="18"/>
          <w:szCs w:val="18"/>
        </w:rPr>
        <w:t>Canoso</w:t>
      </w:r>
      <w:proofErr w:type="spellEnd"/>
      <w:r>
        <w:rPr>
          <w:sz w:val="18"/>
          <w:szCs w:val="18"/>
        </w:rPr>
        <w:t xml:space="preserve"> JJ. Joint injection techniques. In: Klippel JH, Dieppe PA (eds). Rheumatology 2nd Ed. Mosby-Wolfe, 1999.</w:t>
      </w:r>
    </w:p>
    <w:p w14:paraId="0FA10698" w14:textId="77777777" w:rsidR="00390AE2" w:rsidRDefault="00000000">
      <w:pPr>
        <w:spacing w:before="50" w:after="50"/>
        <w:ind w:left="480" w:hanging="480"/>
      </w:pPr>
      <w:r>
        <w:rPr>
          <w:b/>
          <w:bCs/>
          <w:color w:val="0B8A8A"/>
          <w:sz w:val="18"/>
          <w:szCs w:val="18"/>
        </w:rPr>
        <w:t xml:space="preserve">8.  </w:t>
      </w:r>
      <w:r>
        <w:rPr>
          <w:sz w:val="18"/>
          <w:szCs w:val="18"/>
        </w:rPr>
        <w:t>Coombes BK, Bisset L, Vicenzino B. Effect of corticosteroid injection, physiotherapy, or both on clinical outcomes in lateral epicondylalgia. JAMA 2013; 309(5): 461–469.</w:t>
      </w:r>
    </w:p>
    <w:p w14:paraId="2F86BECD" w14:textId="77777777" w:rsidR="00390AE2" w:rsidRDefault="00000000">
      <w:pPr>
        <w:spacing w:before="50" w:after="50"/>
        <w:ind w:left="480" w:hanging="480"/>
      </w:pPr>
      <w:r>
        <w:rPr>
          <w:b/>
          <w:bCs/>
          <w:color w:val="0B8A8A"/>
          <w:sz w:val="18"/>
          <w:szCs w:val="18"/>
        </w:rPr>
        <w:t xml:space="preserve">9.  </w:t>
      </w:r>
      <w:r>
        <w:rPr>
          <w:sz w:val="18"/>
          <w:szCs w:val="18"/>
        </w:rPr>
        <w:t>Bisset L et al. Mobilisation with movement and exercise, corticosteroid injection, or wait and see for tennis elbow. BMJ 2006; 333: 939.</w:t>
      </w:r>
    </w:p>
    <w:p w14:paraId="5F52802F" w14:textId="77777777" w:rsidR="00390AE2" w:rsidRDefault="00000000">
      <w:pPr>
        <w:spacing w:before="50" w:after="50"/>
        <w:ind w:left="480" w:hanging="480"/>
      </w:pPr>
      <w:r>
        <w:rPr>
          <w:b/>
          <w:bCs/>
          <w:color w:val="0B8A8A"/>
          <w:sz w:val="18"/>
          <w:szCs w:val="18"/>
        </w:rPr>
        <w:t xml:space="preserve">10.  </w:t>
      </w:r>
      <w:r>
        <w:rPr>
          <w:sz w:val="18"/>
          <w:szCs w:val="18"/>
        </w:rPr>
        <w:t xml:space="preserve">Marshall S, Tardif G, Ashworth N. Local corticosteroid injection for carpal tunnel syndrome. Cochrane Database </w:t>
      </w:r>
      <w:proofErr w:type="spellStart"/>
      <w:r>
        <w:rPr>
          <w:sz w:val="18"/>
          <w:szCs w:val="18"/>
        </w:rPr>
        <w:t>Syst</w:t>
      </w:r>
      <w:proofErr w:type="spellEnd"/>
      <w:r>
        <w:rPr>
          <w:sz w:val="18"/>
          <w:szCs w:val="18"/>
        </w:rPr>
        <w:t xml:space="preserve"> Rev 2007; (2): CD001554.</w:t>
      </w:r>
    </w:p>
    <w:p w14:paraId="7B0C7060" w14:textId="77777777" w:rsidR="00390AE2" w:rsidRDefault="00000000">
      <w:pPr>
        <w:spacing w:before="50" w:after="50"/>
        <w:ind w:left="480" w:hanging="480"/>
      </w:pPr>
      <w:r>
        <w:rPr>
          <w:b/>
          <w:bCs/>
          <w:color w:val="0B8A8A"/>
          <w:sz w:val="18"/>
          <w:szCs w:val="18"/>
        </w:rPr>
        <w:t xml:space="preserve">11.  </w:t>
      </w:r>
      <w:r>
        <w:rPr>
          <w:sz w:val="18"/>
          <w:szCs w:val="18"/>
        </w:rPr>
        <w:t>Peters-</w:t>
      </w:r>
      <w:proofErr w:type="spellStart"/>
      <w:r>
        <w:rPr>
          <w:sz w:val="18"/>
          <w:szCs w:val="18"/>
        </w:rPr>
        <w:t>Veluthamaningal</w:t>
      </w:r>
      <w:proofErr w:type="spellEnd"/>
      <w:r>
        <w:rPr>
          <w:sz w:val="18"/>
          <w:szCs w:val="18"/>
        </w:rPr>
        <w:t xml:space="preserve"> C et al. Corticosteroid injection for trigger finger in adults. Cochrane Database </w:t>
      </w:r>
      <w:proofErr w:type="spellStart"/>
      <w:r>
        <w:rPr>
          <w:sz w:val="18"/>
          <w:szCs w:val="18"/>
        </w:rPr>
        <w:t>Syst</w:t>
      </w:r>
      <w:proofErr w:type="spellEnd"/>
      <w:r>
        <w:rPr>
          <w:sz w:val="18"/>
          <w:szCs w:val="18"/>
        </w:rPr>
        <w:t xml:space="preserve"> Rev 2009; (1): CD005617.</w:t>
      </w:r>
    </w:p>
    <w:p w14:paraId="274002E5" w14:textId="77777777" w:rsidR="00390AE2" w:rsidRDefault="00000000">
      <w:pPr>
        <w:spacing w:before="50" w:after="50"/>
        <w:ind w:left="480" w:hanging="480"/>
      </w:pPr>
      <w:r>
        <w:rPr>
          <w:b/>
          <w:bCs/>
          <w:color w:val="0B8A8A"/>
          <w:sz w:val="18"/>
          <w:szCs w:val="18"/>
        </w:rPr>
        <w:t xml:space="preserve">12.  </w:t>
      </w:r>
      <w:r>
        <w:rPr>
          <w:sz w:val="18"/>
          <w:szCs w:val="18"/>
        </w:rPr>
        <w:t>Hirsch G, Kitas G, Klocke R. Intra-articular corticosteroid injection in anticoagulated patients. Rheumatology 2012; 51(10): 1731–1738.</w:t>
      </w:r>
    </w:p>
    <w:p w14:paraId="5DBBD3F2" w14:textId="77777777" w:rsidR="00390AE2" w:rsidRDefault="00000000">
      <w:pPr>
        <w:spacing w:before="50" w:after="50"/>
        <w:ind w:left="480" w:hanging="480"/>
      </w:pPr>
      <w:r>
        <w:rPr>
          <w:b/>
          <w:bCs/>
          <w:color w:val="0B8A8A"/>
          <w:sz w:val="18"/>
          <w:szCs w:val="18"/>
        </w:rPr>
        <w:t xml:space="preserve">13.  </w:t>
      </w:r>
      <w:r>
        <w:rPr>
          <w:sz w:val="18"/>
          <w:szCs w:val="18"/>
        </w:rPr>
        <w:t xml:space="preserve">Aleem AW et al. Blood glucose levels in diabetic patients following corticosteroid injections. Arch Bone </w:t>
      </w:r>
      <w:proofErr w:type="spellStart"/>
      <w:r>
        <w:rPr>
          <w:sz w:val="18"/>
          <w:szCs w:val="18"/>
        </w:rPr>
        <w:t>Jt</w:t>
      </w:r>
      <w:proofErr w:type="spellEnd"/>
      <w:r>
        <w:rPr>
          <w:sz w:val="18"/>
          <w:szCs w:val="18"/>
        </w:rPr>
        <w:t xml:space="preserve"> </w:t>
      </w:r>
      <w:proofErr w:type="spellStart"/>
      <w:r>
        <w:rPr>
          <w:sz w:val="18"/>
          <w:szCs w:val="18"/>
        </w:rPr>
        <w:t>Surg</w:t>
      </w:r>
      <w:proofErr w:type="spellEnd"/>
      <w:r>
        <w:rPr>
          <w:sz w:val="18"/>
          <w:szCs w:val="18"/>
        </w:rPr>
        <w:t xml:space="preserve"> 2017; 5(5): 315–321.</w:t>
      </w:r>
    </w:p>
    <w:p w14:paraId="09BED311" w14:textId="77777777" w:rsidR="00390AE2" w:rsidRDefault="00000000">
      <w:pPr>
        <w:spacing w:before="50" w:after="50"/>
        <w:ind w:left="480" w:hanging="480"/>
      </w:pPr>
      <w:r>
        <w:rPr>
          <w:b/>
          <w:bCs/>
          <w:color w:val="0B8A8A"/>
          <w:sz w:val="18"/>
          <w:szCs w:val="18"/>
        </w:rPr>
        <w:t xml:space="preserve">14.  </w:t>
      </w:r>
      <w:r>
        <w:rPr>
          <w:sz w:val="18"/>
          <w:szCs w:val="18"/>
        </w:rPr>
        <w:t>Smith CB et al. Corticosteroid injections for frozen shoulder: a global survey. Musculoskeletal Care 2025.</w:t>
      </w:r>
    </w:p>
    <w:p w14:paraId="78B3F915" w14:textId="77777777" w:rsidR="00390AE2" w:rsidRDefault="00000000">
      <w:pPr>
        <w:spacing w:before="50" w:after="50"/>
        <w:ind w:left="480" w:hanging="480"/>
      </w:pPr>
      <w:r>
        <w:rPr>
          <w:b/>
          <w:bCs/>
          <w:color w:val="0B8A8A"/>
          <w:sz w:val="18"/>
          <w:szCs w:val="18"/>
        </w:rPr>
        <w:t xml:space="preserve">15.  </w:t>
      </w:r>
      <w:r>
        <w:rPr>
          <w:sz w:val="18"/>
          <w:szCs w:val="18"/>
        </w:rPr>
        <w:t>RCGP. GP curriculum: musculoskeletal health. rcgp.org.uk</w:t>
      </w:r>
    </w:p>
    <w:p w14:paraId="2B678687" w14:textId="77777777" w:rsidR="00390AE2" w:rsidRDefault="00390AE2">
      <w:pPr>
        <w:spacing w:before="12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390AE2" w14:paraId="78116C97"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1B3A52"/>
            <w:tcMar>
              <w:top w:w="160" w:type="dxa"/>
              <w:left w:w="300" w:type="dxa"/>
              <w:bottom w:w="160" w:type="dxa"/>
              <w:right w:w="300" w:type="dxa"/>
            </w:tcMar>
          </w:tcPr>
          <w:p w14:paraId="58DD46BE" w14:textId="6F6F3DEE" w:rsidR="00390AE2" w:rsidRDefault="00000000" w:rsidP="00D356B9">
            <w:pPr>
              <w:spacing w:after="40"/>
              <w:jc w:val="center"/>
            </w:pPr>
            <w:r>
              <w:rPr>
                <w:b/>
                <w:bCs/>
                <w:color w:val="B2E0E0"/>
                <w:sz w:val="18"/>
                <w:szCs w:val="18"/>
              </w:rPr>
              <w:t xml:space="preserve">Document updated </w:t>
            </w:r>
            <w:r w:rsidR="00D356B9">
              <w:rPr>
                <w:b/>
                <w:bCs/>
                <w:color w:val="B2E0E0"/>
                <w:sz w:val="18"/>
                <w:szCs w:val="18"/>
              </w:rPr>
              <w:t>May 2026</w:t>
            </w:r>
          </w:p>
          <w:p w14:paraId="3BEFC2D0" w14:textId="77777777" w:rsidR="00390AE2" w:rsidRDefault="00000000">
            <w:pPr>
              <w:jc w:val="center"/>
            </w:pPr>
            <w:r>
              <w:rPr>
                <w:i/>
                <w:iCs/>
                <w:color w:val="FFFFFF"/>
                <w:sz w:val="17"/>
                <w:szCs w:val="17"/>
              </w:rPr>
              <w:t>Updated for UK primary care under NICE NG226, NICE CKS &amp; BNF</w:t>
            </w:r>
          </w:p>
        </w:tc>
      </w:tr>
    </w:tbl>
    <w:p w14:paraId="4F7FE48D" w14:textId="77777777" w:rsidR="00390AE2" w:rsidRDefault="00390AE2">
      <w:pPr>
        <w:spacing w:before="40"/>
      </w:pPr>
    </w:p>
    <w:sectPr w:rsidR="00390AE2">
      <w:headerReference w:type="default" r:id="rId24"/>
      <w:footerReference w:type="default" r:id="rId25"/>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A7CB6" w14:textId="77777777" w:rsidR="00D650C2" w:rsidRDefault="00D650C2">
      <w:r>
        <w:separator/>
      </w:r>
    </w:p>
  </w:endnote>
  <w:endnote w:type="continuationSeparator" w:id="0">
    <w:p w14:paraId="6255B9F3" w14:textId="77777777" w:rsidR="00D650C2" w:rsidRDefault="00D65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AB9E9" w14:textId="77777777" w:rsidR="00390AE2" w:rsidRDefault="00000000">
    <w:pPr>
      <w:pBdr>
        <w:top w:val="single" w:sz="4" w:space="6" w:color="CBD5E1"/>
      </w:pBdr>
      <w:spacing w:before="80"/>
    </w:pPr>
    <w:r>
      <w:rPr>
        <w:i/>
        <w:iCs/>
        <w:color w:val="6B7280"/>
        <w:sz w:val="14"/>
        <w:szCs w:val="14"/>
      </w:rPr>
      <w:t>For qualified clinicians only. Verify all prescribing against the current BNF and NICE guidance.</w:t>
    </w:r>
    <w:r>
      <w:rPr>
        <w:color w:val="6B7280"/>
        <w:sz w:val="14"/>
        <w:szCs w:val="14"/>
      </w:rPr>
      <w:t xml:space="preserve">   ·   Page </w:t>
    </w:r>
    <w:r>
      <w:rPr>
        <w:color w:val="0B8A8A"/>
        <w:sz w:val="14"/>
        <w:szCs w:val="14"/>
      </w:rPr>
      <w:fldChar w:fldCharType="begin"/>
    </w:r>
    <w:r>
      <w:rPr>
        <w:color w:val="0B8A8A"/>
        <w:sz w:val="14"/>
        <w:szCs w:val="14"/>
      </w:rPr>
      <w:instrText>PAGE</w:instrText>
    </w:r>
    <w:r>
      <w:rPr>
        <w:color w:val="0B8A8A"/>
        <w:sz w:val="14"/>
        <w:szCs w:val="14"/>
      </w:rPr>
      <w:fldChar w:fldCharType="separate"/>
    </w:r>
    <w:r w:rsidR="00014114">
      <w:rPr>
        <w:noProof/>
        <w:color w:val="0B8A8A"/>
        <w:sz w:val="14"/>
        <w:szCs w:val="14"/>
      </w:rPr>
      <w:t>1</w:t>
    </w:r>
    <w:r>
      <w:rPr>
        <w:color w:val="0B8A8A"/>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A0F758" w14:textId="77777777" w:rsidR="00D650C2" w:rsidRDefault="00D650C2">
      <w:r>
        <w:separator/>
      </w:r>
    </w:p>
  </w:footnote>
  <w:footnote w:type="continuationSeparator" w:id="0">
    <w:p w14:paraId="51C16550" w14:textId="77777777" w:rsidR="00D650C2" w:rsidRDefault="00D650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0E59B" w14:textId="01BEFB2F" w:rsidR="00390AE2" w:rsidRDefault="00014114">
    <w:pPr>
      <w:pBdr>
        <w:bottom w:val="single" w:sz="4" w:space="6" w:color="0B8A8A"/>
      </w:pBdr>
      <w:spacing w:after="80"/>
    </w:pPr>
    <w:r>
      <w:rPr>
        <w:b/>
        <w:bCs/>
        <w:color w:val="1B3A52"/>
        <w:sz w:val="16"/>
        <w:szCs w:val="16"/>
      </w:rPr>
      <w:t>Joint</w:t>
    </w:r>
    <w:r w:rsidR="00000000">
      <w:rPr>
        <w:b/>
        <w:bCs/>
        <w:color w:val="1B3A52"/>
        <w:sz w:val="16"/>
        <w:szCs w:val="16"/>
      </w:rPr>
      <w:t xml:space="preserve"> </w:t>
    </w:r>
    <w:r>
      <w:rPr>
        <w:b/>
        <w:bCs/>
        <w:color w:val="1B3A52"/>
        <w:sz w:val="16"/>
        <w:szCs w:val="16"/>
      </w:rPr>
      <w:t>Injection</w:t>
    </w:r>
    <w:r w:rsidR="00000000">
      <w:rPr>
        <w:b/>
        <w:bCs/>
        <w:color w:val="1B3A52"/>
        <w:sz w:val="16"/>
        <w:szCs w:val="16"/>
      </w:rPr>
      <w:t xml:space="preserve"> </w:t>
    </w:r>
    <w:proofErr w:type="gramStart"/>
    <w:r>
      <w:rPr>
        <w:b/>
        <w:bCs/>
        <w:color w:val="1B3A52"/>
        <w:sz w:val="16"/>
        <w:szCs w:val="16"/>
      </w:rPr>
      <w:t>Techniques</w:t>
    </w:r>
    <w:r w:rsidR="00000000">
      <w:rPr>
        <w:b/>
        <w:bCs/>
        <w:color w:val="1B3A52"/>
        <w:sz w:val="16"/>
        <w:szCs w:val="16"/>
      </w:rPr>
      <w:t xml:space="preserve">  ·</w:t>
    </w:r>
    <w:proofErr w:type="gramEnd"/>
    <w:r w:rsidR="00000000">
      <w:rPr>
        <w:b/>
        <w:bCs/>
        <w:color w:val="1B3A52"/>
        <w:sz w:val="16"/>
        <w:szCs w:val="16"/>
      </w:rPr>
      <w:t xml:space="preserve">  </w:t>
    </w:r>
    <w:r>
      <w:rPr>
        <w:b/>
        <w:bCs/>
        <w:color w:val="1B3A52"/>
        <w:sz w:val="16"/>
        <w:szCs w:val="16"/>
      </w:rPr>
      <w:t>BRADFORD VTS TEACHING AIDS</w:t>
    </w:r>
    <w:r w:rsidR="00000000">
      <w:rPr>
        <w:i/>
        <w:iCs/>
        <w:color w:val="6B7280"/>
        <w:sz w:val="15"/>
        <w:szCs w:val="15"/>
      </w:rPr>
      <w:t xml:space="preserve">   Updated to NICE NG226 &amp; NICE CKS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942539"/>
    <w:multiLevelType w:val="hybridMultilevel"/>
    <w:tmpl w:val="8312BE22"/>
    <w:lvl w:ilvl="0" w:tplc="C43E3040">
      <w:start w:val="1"/>
      <w:numFmt w:val="bullet"/>
      <w:lvlText w:val="•"/>
      <w:lvlJc w:val="left"/>
      <w:pPr>
        <w:ind w:left="560" w:hanging="280"/>
      </w:pPr>
    </w:lvl>
    <w:lvl w:ilvl="1" w:tplc="85720366">
      <w:numFmt w:val="decimal"/>
      <w:lvlText w:val=""/>
      <w:lvlJc w:val="left"/>
    </w:lvl>
    <w:lvl w:ilvl="2" w:tplc="DE285634">
      <w:numFmt w:val="decimal"/>
      <w:lvlText w:val=""/>
      <w:lvlJc w:val="left"/>
    </w:lvl>
    <w:lvl w:ilvl="3" w:tplc="86BC5EB6">
      <w:numFmt w:val="decimal"/>
      <w:lvlText w:val=""/>
      <w:lvlJc w:val="left"/>
    </w:lvl>
    <w:lvl w:ilvl="4" w:tplc="04E2CC92">
      <w:numFmt w:val="decimal"/>
      <w:lvlText w:val=""/>
      <w:lvlJc w:val="left"/>
    </w:lvl>
    <w:lvl w:ilvl="5" w:tplc="A4AC0392">
      <w:numFmt w:val="decimal"/>
      <w:lvlText w:val=""/>
      <w:lvlJc w:val="left"/>
    </w:lvl>
    <w:lvl w:ilvl="6" w:tplc="6400E652">
      <w:numFmt w:val="decimal"/>
      <w:lvlText w:val=""/>
      <w:lvlJc w:val="left"/>
    </w:lvl>
    <w:lvl w:ilvl="7" w:tplc="663C808C">
      <w:numFmt w:val="decimal"/>
      <w:lvlText w:val=""/>
      <w:lvlJc w:val="left"/>
    </w:lvl>
    <w:lvl w:ilvl="8" w:tplc="E2BA8E8E">
      <w:numFmt w:val="decimal"/>
      <w:lvlText w:val=""/>
      <w:lvlJc w:val="left"/>
    </w:lvl>
  </w:abstractNum>
  <w:abstractNum w:abstractNumId="1" w15:restartNumberingAfterBreak="0">
    <w:nsid w:val="7A224865"/>
    <w:multiLevelType w:val="hybridMultilevel"/>
    <w:tmpl w:val="715C3862"/>
    <w:lvl w:ilvl="0" w:tplc="52A868E0">
      <w:start w:val="1"/>
      <w:numFmt w:val="bullet"/>
      <w:lvlText w:val="●"/>
      <w:lvlJc w:val="left"/>
      <w:pPr>
        <w:ind w:left="720" w:hanging="360"/>
      </w:pPr>
    </w:lvl>
    <w:lvl w:ilvl="1" w:tplc="C14CFE1E">
      <w:start w:val="1"/>
      <w:numFmt w:val="bullet"/>
      <w:lvlText w:val="○"/>
      <w:lvlJc w:val="left"/>
      <w:pPr>
        <w:ind w:left="1440" w:hanging="360"/>
      </w:pPr>
    </w:lvl>
    <w:lvl w:ilvl="2" w:tplc="748A60F4">
      <w:start w:val="1"/>
      <w:numFmt w:val="bullet"/>
      <w:lvlText w:val="■"/>
      <w:lvlJc w:val="left"/>
      <w:pPr>
        <w:ind w:left="2160" w:hanging="360"/>
      </w:pPr>
    </w:lvl>
    <w:lvl w:ilvl="3" w:tplc="0B1A3D40">
      <w:start w:val="1"/>
      <w:numFmt w:val="bullet"/>
      <w:lvlText w:val="●"/>
      <w:lvlJc w:val="left"/>
      <w:pPr>
        <w:ind w:left="2880" w:hanging="360"/>
      </w:pPr>
    </w:lvl>
    <w:lvl w:ilvl="4" w:tplc="355C6C92">
      <w:start w:val="1"/>
      <w:numFmt w:val="bullet"/>
      <w:lvlText w:val="○"/>
      <w:lvlJc w:val="left"/>
      <w:pPr>
        <w:ind w:left="3600" w:hanging="360"/>
      </w:pPr>
    </w:lvl>
    <w:lvl w:ilvl="5" w:tplc="BA4C8272">
      <w:start w:val="1"/>
      <w:numFmt w:val="bullet"/>
      <w:lvlText w:val="■"/>
      <w:lvlJc w:val="left"/>
      <w:pPr>
        <w:ind w:left="4320" w:hanging="360"/>
      </w:pPr>
    </w:lvl>
    <w:lvl w:ilvl="6" w:tplc="E4FC2AE0">
      <w:start w:val="1"/>
      <w:numFmt w:val="bullet"/>
      <w:lvlText w:val="●"/>
      <w:lvlJc w:val="left"/>
      <w:pPr>
        <w:ind w:left="5040" w:hanging="360"/>
      </w:pPr>
    </w:lvl>
    <w:lvl w:ilvl="7" w:tplc="1AF6A582">
      <w:start w:val="1"/>
      <w:numFmt w:val="bullet"/>
      <w:lvlText w:val="●"/>
      <w:lvlJc w:val="left"/>
      <w:pPr>
        <w:ind w:left="5760" w:hanging="360"/>
      </w:pPr>
    </w:lvl>
    <w:lvl w:ilvl="8" w:tplc="F7D4036C">
      <w:start w:val="1"/>
      <w:numFmt w:val="bullet"/>
      <w:lvlText w:val="●"/>
      <w:lvlJc w:val="left"/>
      <w:pPr>
        <w:ind w:left="6480" w:hanging="360"/>
      </w:pPr>
    </w:lvl>
  </w:abstractNum>
  <w:num w:numId="1" w16cid:durableId="1701122953">
    <w:abstractNumId w:val="1"/>
    <w:lvlOverride w:ilvl="0">
      <w:startOverride w:val="1"/>
    </w:lvlOverride>
  </w:num>
  <w:num w:numId="2" w16cid:durableId="140695659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0AE2"/>
    <w:rsid w:val="00014114"/>
    <w:rsid w:val="0004015C"/>
    <w:rsid w:val="00390AE2"/>
    <w:rsid w:val="008A3E20"/>
    <w:rsid w:val="00D356B9"/>
    <w:rsid w:val="00D65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38F48"/>
  <w15:docId w15:val="{BF609734-4394-48A6-810C-1824CA455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37415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014114"/>
    <w:pPr>
      <w:tabs>
        <w:tab w:val="center" w:pos="4513"/>
        <w:tab w:val="right" w:pos="9026"/>
      </w:tabs>
    </w:pPr>
  </w:style>
  <w:style w:type="character" w:customStyle="1" w:styleId="HeaderChar">
    <w:name w:val="Header Char"/>
    <w:basedOn w:val="DefaultParagraphFont"/>
    <w:link w:val="Header"/>
    <w:uiPriority w:val="99"/>
    <w:rsid w:val="00014114"/>
  </w:style>
  <w:style w:type="paragraph" w:styleId="Footer">
    <w:name w:val="footer"/>
    <w:basedOn w:val="Normal"/>
    <w:link w:val="FooterChar"/>
    <w:uiPriority w:val="99"/>
    <w:unhideWhenUsed/>
    <w:rsid w:val="00014114"/>
    <w:pPr>
      <w:tabs>
        <w:tab w:val="center" w:pos="4513"/>
        <w:tab w:val="right" w:pos="9026"/>
      </w:tabs>
    </w:pPr>
  </w:style>
  <w:style w:type="character" w:customStyle="1" w:styleId="FooterChar">
    <w:name w:val="Footer Char"/>
    <w:basedOn w:val="DefaultParagraphFont"/>
    <w:link w:val="Footer"/>
    <w:uiPriority w:val="99"/>
    <w:rsid w:val="000141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6564</Words>
  <Characters>37417</Characters>
  <Application>Microsoft Office Word</Application>
  <DocSecurity>0</DocSecurity>
  <Lines>311</Lines>
  <Paragraphs>87</Paragraphs>
  <ScaleCrop>false</ScaleCrop>
  <Company/>
  <LinksUpToDate>false</LinksUpToDate>
  <CharactersWithSpaces>43894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4</cp:revision>
  <dcterms:created xsi:type="dcterms:W3CDTF">2026-05-22T19:24:00Z</dcterms:created>
  <dcterms:modified xsi:type="dcterms:W3CDTF">2026-05-22T19:27:00Z</dcterms:modified>
</cp:coreProperties>
</file>