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7500"/>
        <w:gridCol w:w="2706"/>
      </w:tblGrid>
      <w:tr w:rsidR="00557550" w14:paraId="21419D71" w14:textId="77777777">
        <w:tblPrEx>
          <w:tblCellMar>
            <w:top w:w="0" w:type="dxa"/>
            <w:bottom w:w="0" w:type="dxa"/>
          </w:tblCellMar>
        </w:tblPrEx>
        <w:tc>
          <w:tcPr>
            <w:tcW w:w="7500" w:type="dxa"/>
            <w:tcBorders>
              <w:top w:val="none" w:sz="0" w:space="0" w:color="FFFFFF"/>
              <w:left w:val="none" w:sz="0" w:space="0" w:color="FFFFFF"/>
              <w:bottom w:val="none" w:sz="0" w:space="0" w:color="FFFFFF"/>
              <w:right w:val="none" w:sz="0" w:space="0" w:color="FFFFFF"/>
            </w:tcBorders>
            <w:shd w:val="clear" w:color="auto" w:fill="E2661A"/>
            <w:tcMar>
              <w:top w:w="130" w:type="dxa"/>
              <w:left w:w="200" w:type="dxa"/>
              <w:bottom w:w="130" w:type="dxa"/>
              <w:right w:w="120" w:type="dxa"/>
            </w:tcMar>
            <w:vAlign w:val="center"/>
          </w:tcPr>
          <w:p w14:paraId="1A1FB7FC" w14:textId="77777777" w:rsidR="00557550" w:rsidRDefault="00000000">
            <w:r>
              <w:rPr>
                <w:b/>
                <w:bCs/>
                <w:color w:val="FFFFFF"/>
                <w:spacing w:val="14"/>
                <w:sz w:val="23"/>
                <w:szCs w:val="23"/>
              </w:rPr>
              <w:t>BRADFORD VTS TEACHING AIDS</w:t>
            </w:r>
          </w:p>
        </w:tc>
        <w:tc>
          <w:tcPr>
            <w:tcW w:w="2706" w:type="dxa"/>
            <w:tcBorders>
              <w:top w:val="none" w:sz="0" w:space="0" w:color="FFFFFF"/>
              <w:left w:val="none" w:sz="0" w:space="0" w:color="FFFFFF"/>
              <w:bottom w:val="none" w:sz="0" w:space="0" w:color="FFFFFF"/>
              <w:right w:val="none" w:sz="0" w:space="0" w:color="FFFFFF"/>
            </w:tcBorders>
            <w:shd w:val="clear" w:color="auto" w:fill="2A3340"/>
            <w:tcMar>
              <w:top w:w="130" w:type="dxa"/>
              <w:left w:w="160" w:type="dxa"/>
              <w:bottom w:w="130" w:type="dxa"/>
              <w:right w:w="160" w:type="dxa"/>
            </w:tcMar>
            <w:vAlign w:val="center"/>
          </w:tcPr>
          <w:p w14:paraId="4DE2080D" w14:textId="77777777" w:rsidR="00557550" w:rsidRDefault="00000000">
            <w:pPr>
              <w:jc w:val="right"/>
            </w:pPr>
            <w:r>
              <w:rPr>
                <w:color w:val="9FB0C4"/>
                <w:spacing w:val="14"/>
                <w:sz w:val="12"/>
                <w:szCs w:val="12"/>
              </w:rPr>
              <w:t>UPDATED</w:t>
            </w:r>
          </w:p>
          <w:p w14:paraId="735BBBD4" w14:textId="77777777" w:rsidR="00557550" w:rsidRDefault="00000000">
            <w:pPr>
              <w:jc w:val="right"/>
            </w:pPr>
            <w:r>
              <w:rPr>
                <w:b/>
                <w:bCs/>
                <w:color w:val="FFFFFF"/>
                <w:sz w:val="20"/>
                <w:szCs w:val="20"/>
              </w:rPr>
              <w:t>June 2026</w:t>
            </w:r>
          </w:p>
        </w:tc>
      </w:tr>
    </w:tbl>
    <w:p w14:paraId="6D41C167" w14:textId="77777777" w:rsidR="00557550" w:rsidRDefault="00557550">
      <w:pPr>
        <w:spacing w:after="140"/>
      </w:pPr>
    </w:p>
    <w:p w14:paraId="0EA585F4" w14:textId="77777777" w:rsidR="00557550" w:rsidRDefault="00000000">
      <w:pPr>
        <w:spacing w:after="70" w:line="264" w:lineRule="auto"/>
      </w:pPr>
      <w:r>
        <w:rPr>
          <w:b/>
          <w:bCs/>
          <w:color w:val="B94E10"/>
          <w:spacing w:val="10"/>
          <w:sz w:val="14"/>
          <w:szCs w:val="14"/>
        </w:rPr>
        <w:t>MUSCULOSKELETAL · QUICK-REFERENCE CARD</w:t>
      </w:r>
    </w:p>
    <w:p w14:paraId="7F10AD17" w14:textId="36DA1933" w:rsidR="00557550" w:rsidRDefault="00000000">
      <w:pPr>
        <w:spacing w:before="120" w:after="30" w:line="264" w:lineRule="auto"/>
      </w:pPr>
      <w:r>
        <w:rPr>
          <w:b/>
          <w:bCs/>
          <w:sz w:val="40"/>
          <w:szCs w:val="40"/>
        </w:rPr>
        <w:t xml:space="preserve">Back Pain — Diagnostic Triage </w:t>
      </w:r>
      <w:r w:rsidR="00521AEC">
        <w:rPr>
          <w:b/>
          <w:bCs/>
          <w:sz w:val="40"/>
          <w:szCs w:val="40"/>
        </w:rPr>
        <w:t>– The 6 patterns</w:t>
      </w:r>
    </w:p>
    <w:p w14:paraId="3DCD4830" w14:textId="77777777" w:rsidR="00557550" w:rsidRDefault="00000000">
      <w:pPr>
        <w:pBdr>
          <w:bottom w:val="single" w:sz="18" w:space="6" w:color="E2661A"/>
        </w:pBdr>
        <w:spacing w:after="120"/>
      </w:pPr>
      <w:r>
        <w:rPr>
          <w:color w:val="5A6675"/>
          <w:sz w:val="21"/>
          <w:szCs w:val="21"/>
        </w:rPr>
        <w:t>Six patterns, one quick sort — what to recognise and what to do. For GP trainees and IMGs.</w:t>
      </w: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206"/>
      </w:tblGrid>
      <w:tr w:rsidR="00557550" w14:paraId="3137280D" w14:textId="77777777">
        <w:tblPrEx>
          <w:tblCellMar>
            <w:top w:w="0" w:type="dxa"/>
            <w:bottom w:w="0" w:type="dxa"/>
          </w:tblCellMar>
        </w:tblPrEx>
        <w:tc>
          <w:tcPr>
            <w:tcW w:w="10206" w:type="dxa"/>
            <w:tcBorders>
              <w:top w:val="single" w:sz="4" w:space="0" w:color="B9650B"/>
              <w:left w:val="single" w:sz="22" w:space="0" w:color="B9650B"/>
              <w:bottom w:val="single" w:sz="4" w:space="0" w:color="B9650B"/>
              <w:right w:val="single" w:sz="4" w:space="0" w:color="B9650B"/>
            </w:tcBorders>
            <w:shd w:val="clear" w:color="auto" w:fill="FFF4E1"/>
            <w:tcMar>
              <w:top w:w="90" w:type="dxa"/>
              <w:left w:w="150" w:type="dxa"/>
              <w:bottom w:w="90" w:type="dxa"/>
              <w:right w:w="140" w:type="dxa"/>
            </w:tcMar>
          </w:tcPr>
          <w:p w14:paraId="07572498" w14:textId="77777777" w:rsidR="00557550" w:rsidRDefault="00000000">
            <w:pPr>
              <w:spacing w:after="60" w:line="252" w:lineRule="auto"/>
            </w:pPr>
            <w:r>
              <w:rPr>
                <w:b/>
                <w:bCs/>
                <w:caps/>
                <w:color w:val="B9650B"/>
                <w:spacing w:val="6"/>
                <w:sz w:val="17"/>
                <w:szCs w:val="17"/>
              </w:rPr>
              <w:t>!  How to read this card</w:t>
            </w:r>
          </w:p>
          <w:p w14:paraId="352395D0" w14:textId="77777777" w:rsidR="00557550" w:rsidRDefault="00000000">
            <w:pPr>
              <w:spacing w:line="264" w:lineRule="auto"/>
            </w:pPr>
            <w:r>
              <w:t xml:space="preserve">These features </w:t>
            </w:r>
            <w:r>
              <w:rPr>
                <w:b/>
                <w:bCs/>
              </w:rPr>
              <w:t>warn</w:t>
            </w:r>
            <w:r>
              <w:t xml:space="preserve"> you — they do not, on their own, dictate referral. </w:t>
            </w:r>
            <w:r>
              <w:rPr>
                <w:b/>
                <w:bCs/>
              </w:rPr>
              <w:t>Never act on a single red flag in isolation</w:t>
            </w:r>
            <w:r>
              <w:t xml:space="preserve">; weigh the whole picture. First exclude a problem coming from </w:t>
            </w:r>
            <w:r>
              <w:rPr>
                <w:b/>
                <w:bCs/>
              </w:rPr>
              <w:t>elsewhere</w:t>
            </w:r>
            <w:r>
              <w:t>, then sort the spine into simple backache, nerve-root pain, or possible serious pathology.</w:t>
            </w:r>
          </w:p>
        </w:tc>
      </w:tr>
    </w:tbl>
    <w:p w14:paraId="2C084C3F" w14:textId="77777777" w:rsidR="00557550" w:rsidRDefault="00557550">
      <w:pPr>
        <w:spacing w:after="120"/>
      </w:pPr>
    </w:p>
    <w:p w14:paraId="5561D857" w14:textId="77777777" w:rsidR="00557550" w:rsidRDefault="00000000">
      <w:pPr>
        <w:spacing w:before="40" w:after="80"/>
        <w:jc w:val="center"/>
      </w:pPr>
      <w:r>
        <w:rPr>
          <w:noProof/>
        </w:rPr>
        <w:drawing>
          <wp:inline distT="0" distB="0" distL="0" distR="0" wp14:anchorId="37F9A312" wp14:editId="7EF1B6DD">
            <wp:extent cx="6400800" cy="2590800"/>
            <wp:effectExtent l="0" t="0" r="0" b="0"/>
            <wp:docPr id="1" name="diag_triage.png" descr="diag_triage.png" title="diag_tri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6400800" cy="2590800"/>
                    </a:xfrm>
                    <a:prstGeom prst="rect">
                      <a:avLst/>
                    </a:prstGeom>
                  </pic:spPr>
                </pic:pic>
              </a:graphicData>
            </a:graphic>
          </wp:inline>
        </w:drawing>
      </w:r>
    </w:p>
    <w:p w14:paraId="25B55813" w14:textId="77777777" w:rsidR="00557550" w:rsidRDefault="00557550">
      <w:pPr>
        <w:spacing w:after="120"/>
      </w:pPr>
    </w:p>
    <w:tbl>
      <w:tblPr>
        <w:tblW w:w="1020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520"/>
        <w:gridCol w:w="1630"/>
        <w:gridCol w:w="5706"/>
        <w:gridCol w:w="650"/>
        <w:gridCol w:w="1700"/>
      </w:tblGrid>
      <w:tr w:rsidR="00557550" w14:paraId="0E28F92B" w14:textId="77777777">
        <w:tblPrEx>
          <w:tblCellMar>
            <w:top w:w="0" w:type="dxa"/>
            <w:bottom w:w="0" w:type="dxa"/>
          </w:tblCellMar>
        </w:tblPrEx>
        <w:tc>
          <w:tcPr>
            <w:tcW w:w="520" w:type="dxa"/>
            <w:tcBorders>
              <w:top w:val="none" w:sz="0" w:space="0" w:color="FFFFFF"/>
              <w:left w:val="none" w:sz="0" w:space="0" w:color="FFFFFF"/>
              <w:bottom w:val="none" w:sz="0" w:space="0" w:color="FFFFFF"/>
              <w:right w:val="none" w:sz="0" w:space="0" w:color="FFFFFF"/>
            </w:tcBorders>
            <w:shd w:val="clear" w:color="auto" w:fill="E2661A"/>
            <w:tcMar>
              <w:top w:w="30" w:type="dxa"/>
              <w:left w:w="0" w:type="dxa"/>
              <w:bottom w:w="30" w:type="dxa"/>
              <w:right w:w="0" w:type="dxa"/>
            </w:tcMar>
            <w:vAlign w:val="center"/>
          </w:tcPr>
          <w:p w14:paraId="39009BE8" w14:textId="77777777" w:rsidR="00557550" w:rsidRDefault="00000000">
            <w:pPr>
              <w:jc w:val="center"/>
            </w:pPr>
            <w:r>
              <w:rPr>
                <w:b/>
                <w:bCs/>
                <w:color w:val="FFFFFF"/>
                <w:sz w:val="24"/>
                <w:szCs w:val="24"/>
              </w:rPr>
              <w:t>✓</w:t>
            </w:r>
          </w:p>
        </w:tc>
        <w:tc>
          <w:tcPr>
            <w:tcW w:w="7986" w:type="dxa"/>
            <w:gridSpan w:val="3"/>
            <w:tcBorders>
              <w:top w:val="none" w:sz="0" w:space="0" w:color="FFFFFF"/>
              <w:left w:val="none" w:sz="0" w:space="0" w:color="FFFFFF"/>
              <w:bottom w:val="none" w:sz="0" w:space="0" w:color="FFFFFF"/>
              <w:right w:val="none" w:sz="0" w:space="0" w:color="FFFFFF"/>
            </w:tcBorders>
            <w:tcMar>
              <w:top w:w="0" w:type="dxa"/>
              <w:left w:w="150" w:type="dxa"/>
              <w:bottom w:w="0" w:type="dxa"/>
              <w:right w:w="0" w:type="dxa"/>
            </w:tcMar>
            <w:vAlign w:val="center"/>
          </w:tcPr>
          <w:p w14:paraId="6769E64D" w14:textId="77777777" w:rsidR="00557550" w:rsidRDefault="00000000">
            <w:r>
              <w:rPr>
                <w:b/>
                <w:bCs/>
                <w:sz w:val="30"/>
                <w:szCs w:val="30"/>
              </w:rPr>
              <w:t>The six patterns</w:t>
            </w:r>
          </w:p>
        </w:tc>
        <w:tc>
          <w:tcPr>
            <w:tcW w:w="1700" w:type="dxa"/>
            <w:tcBorders>
              <w:top w:val="none" w:sz="0" w:space="0" w:color="FFFFFF"/>
              <w:left w:val="none" w:sz="0" w:space="0" w:color="FFFFFF"/>
              <w:bottom w:val="none" w:sz="0" w:space="0" w:color="FFFFFF"/>
              <w:right w:val="none" w:sz="0" w:space="0" w:color="FFFFFF"/>
            </w:tcBorders>
            <w:tcMar>
              <w:top w:w="0" w:type="dxa"/>
              <w:left w:w="0" w:type="dxa"/>
              <w:bottom w:w="0" w:type="dxa"/>
              <w:right w:w="0" w:type="dxa"/>
            </w:tcMar>
            <w:vAlign w:val="center"/>
          </w:tcPr>
          <w:p w14:paraId="64B4FBB3" w14:textId="77777777" w:rsidR="00557550" w:rsidRDefault="00000000">
            <w:pPr>
              <w:jc w:val="right"/>
            </w:pPr>
            <w:r>
              <w:rPr>
                <w:b/>
                <w:bCs/>
                <w:caps/>
                <w:color w:val="5A6675"/>
                <w:spacing w:val="8"/>
                <w:sz w:val="14"/>
                <w:szCs w:val="14"/>
              </w:rPr>
              <w:t>Recognise · Act</w:t>
            </w:r>
          </w:p>
        </w:tc>
      </w:tr>
      <w:tr w:rsidR="00557550" w14:paraId="7A8F124A" w14:textId="77777777">
        <w:tblPrEx>
          <w:tblCellMar>
            <w:top w:w="0" w:type="dxa"/>
            <w:bottom w:w="0" w:type="dxa"/>
          </w:tblCellMar>
        </w:tblPrEx>
        <w:trPr>
          <w:tblHeader/>
        </w:trPr>
        <w:tc>
          <w:tcPr>
            <w:tcW w:w="2150" w:type="dxa"/>
            <w:gridSpan w:val="2"/>
            <w:tcBorders>
              <w:top w:val="none" w:sz="0" w:space="0" w:color="FFFFFF"/>
              <w:left w:val="none" w:sz="0" w:space="0" w:color="FFFFFF"/>
              <w:bottom w:val="none" w:sz="0" w:space="0" w:color="FFFFFF"/>
              <w:right w:val="single" w:sz="8" w:space="0" w:color="FFFFFF"/>
            </w:tcBorders>
            <w:shd w:val="clear" w:color="auto" w:fill="2A3340"/>
            <w:tcMar>
              <w:top w:w="60" w:type="dxa"/>
              <w:left w:w="130" w:type="dxa"/>
              <w:bottom w:w="60" w:type="dxa"/>
              <w:right w:w="120" w:type="dxa"/>
            </w:tcMar>
          </w:tcPr>
          <w:p w14:paraId="54EB92C1" w14:textId="77777777" w:rsidR="00557550" w:rsidRDefault="00000000">
            <w:r>
              <w:rPr>
                <w:b/>
                <w:bCs/>
                <w:color w:val="FFFFFF"/>
                <w:sz w:val="16"/>
                <w:szCs w:val="16"/>
              </w:rPr>
              <w:t>Pattern</w:t>
            </w:r>
          </w:p>
        </w:tc>
        <w:tc>
          <w:tcPr>
            <w:tcW w:w="5706" w:type="dxa"/>
            <w:tcBorders>
              <w:top w:val="none" w:sz="0" w:space="0" w:color="FFFFFF"/>
              <w:left w:val="none" w:sz="0" w:space="0" w:color="FFFFFF"/>
              <w:bottom w:val="none" w:sz="0" w:space="0" w:color="FFFFFF"/>
              <w:right w:val="single" w:sz="8" w:space="0" w:color="FFFFFF"/>
            </w:tcBorders>
            <w:shd w:val="clear" w:color="auto" w:fill="2A3340"/>
            <w:tcMar>
              <w:top w:w="60" w:type="dxa"/>
              <w:left w:w="150" w:type="dxa"/>
              <w:bottom w:w="60" w:type="dxa"/>
              <w:right w:w="140" w:type="dxa"/>
            </w:tcMar>
          </w:tcPr>
          <w:p w14:paraId="6C69CF6D" w14:textId="77777777" w:rsidR="00557550" w:rsidRDefault="00000000">
            <w:r>
              <w:rPr>
                <w:b/>
                <w:bCs/>
                <w:color w:val="FFFFFF"/>
                <w:sz w:val="16"/>
                <w:szCs w:val="16"/>
              </w:rPr>
              <w:t>Recognise — warning features</w:t>
            </w:r>
          </w:p>
        </w:tc>
        <w:tc>
          <w:tcPr>
            <w:tcW w:w="2350" w:type="dxa"/>
            <w:gridSpan w:val="2"/>
            <w:shd w:val="clear" w:color="auto" w:fill="2A3340"/>
            <w:tcMar>
              <w:top w:w="60" w:type="dxa"/>
              <w:left w:w="140" w:type="dxa"/>
              <w:bottom w:w="60" w:type="dxa"/>
              <w:right w:w="130" w:type="dxa"/>
            </w:tcMar>
          </w:tcPr>
          <w:p w14:paraId="32477638" w14:textId="77777777" w:rsidR="00557550" w:rsidRDefault="00000000">
            <w:r>
              <w:rPr>
                <w:b/>
                <w:bCs/>
                <w:color w:val="FFFFFF"/>
                <w:sz w:val="16"/>
                <w:szCs w:val="16"/>
              </w:rPr>
              <w:t>Act</w:t>
            </w:r>
          </w:p>
        </w:tc>
      </w:tr>
      <w:tr w:rsidR="00557550" w14:paraId="0C975A3A"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15824B"/>
            <w:tcMar>
              <w:top w:w="110" w:type="dxa"/>
              <w:left w:w="130" w:type="dxa"/>
              <w:bottom w:w="110" w:type="dxa"/>
              <w:right w:w="120" w:type="dxa"/>
            </w:tcMar>
          </w:tcPr>
          <w:p w14:paraId="5DBD99D1" w14:textId="77777777" w:rsidR="00557550" w:rsidRDefault="00000000">
            <w:pPr>
              <w:spacing w:line="248" w:lineRule="auto"/>
            </w:pPr>
            <w:r>
              <w:rPr>
                <w:b/>
                <w:bCs/>
                <w:color w:val="FFFFFF"/>
              </w:rPr>
              <w:t>Simple backache</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4DC2C75C" w14:textId="77777777" w:rsidR="00557550" w:rsidRDefault="00000000">
            <w:pPr>
              <w:pStyle w:val="ListParagraph"/>
              <w:numPr>
                <w:ilvl w:val="0"/>
                <w:numId w:val="2"/>
              </w:numPr>
              <w:spacing w:after="40" w:line="258" w:lineRule="auto"/>
            </w:pPr>
            <w:r>
              <w:t>Age 20–55, otherwise well</w:t>
            </w:r>
          </w:p>
          <w:p w14:paraId="4466E57F" w14:textId="77777777" w:rsidR="00557550" w:rsidRDefault="00000000">
            <w:pPr>
              <w:pStyle w:val="ListParagraph"/>
              <w:numPr>
                <w:ilvl w:val="0"/>
                <w:numId w:val="2"/>
              </w:numPr>
              <w:spacing w:after="40" w:line="258" w:lineRule="auto"/>
            </w:pPr>
            <w:r>
              <w:t>Pain in lumbosacral region, buttocks and thighs</w:t>
            </w:r>
          </w:p>
          <w:p w14:paraId="3A7F0125" w14:textId="77777777" w:rsidR="00557550" w:rsidRDefault="00000000">
            <w:pPr>
              <w:pStyle w:val="ListParagraph"/>
              <w:numPr>
                <w:ilvl w:val="0"/>
                <w:numId w:val="2"/>
              </w:numPr>
              <w:spacing w:after="40" w:line="258" w:lineRule="auto"/>
            </w:pPr>
            <w:r>
              <w:t>Mechanical — varies with activity and posture</w:t>
            </w:r>
          </w:p>
          <w:p w14:paraId="355BB146" w14:textId="77777777" w:rsidR="00557550" w:rsidRDefault="00000000">
            <w:pPr>
              <w:pStyle w:val="ListParagraph"/>
              <w:numPr>
                <w:ilvl w:val="0"/>
                <w:numId w:val="2"/>
              </w:numPr>
              <w:spacing w:after="40" w:line="258" w:lineRule="auto"/>
            </w:pPr>
            <w:r>
              <w:t>No red flags, no leg-dominant pain</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19AC9330" w14:textId="77777777" w:rsidR="00557550" w:rsidRDefault="00000000">
            <w:pPr>
              <w:spacing w:line="252" w:lineRule="auto"/>
            </w:pPr>
            <w:r>
              <w:rPr>
                <w:b/>
                <w:bCs/>
                <w:color w:val="15824B"/>
              </w:rPr>
              <w:t>Manage in primary care</w:t>
            </w:r>
            <w:r>
              <w:t xml:space="preserve"> — reassure, keep active, NSAID first-line, no routine imaging, review.</w:t>
            </w:r>
          </w:p>
        </w:tc>
      </w:tr>
      <w:tr w:rsidR="00557550" w14:paraId="0278A1EB"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1D5FC4"/>
            <w:tcMar>
              <w:top w:w="110" w:type="dxa"/>
              <w:left w:w="130" w:type="dxa"/>
              <w:bottom w:w="110" w:type="dxa"/>
              <w:right w:w="120" w:type="dxa"/>
            </w:tcMar>
          </w:tcPr>
          <w:p w14:paraId="256D28FB" w14:textId="77777777" w:rsidR="00557550" w:rsidRDefault="00000000">
            <w:pPr>
              <w:spacing w:line="248" w:lineRule="auto"/>
            </w:pPr>
            <w:r>
              <w:rPr>
                <w:b/>
                <w:bCs/>
                <w:color w:val="FFFFFF"/>
              </w:rPr>
              <w:t>Nerve-root pain (sciatica)</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67C9EAB7" w14:textId="77777777" w:rsidR="00557550" w:rsidRDefault="00000000">
            <w:pPr>
              <w:pStyle w:val="ListParagraph"/>
              <w:numPr>
                <w:ilvl w:val="0"/>
                <w:numId w:val="2"/>
              </w:numPr>
              <w:spacing w:after="40" w:line="258" w:lineRule="auto"/>
            </w:pPr>
            <w:r>
              <w:t xml:space="preserve">Unilateral leg pain </w:t>
            </w:r>
            <w:r>
              <w:rPr>
                <w:b/>
                <w:bCs/>
              </w:rPr>
              <w:t>worse than</w:t>
            </w:r>
            <w:r>
              <w:t xml:space="preserve"> back pain</w:t>
            </w:r>
          </w:p>
          <w:p w14:paraId="483E5DE6" w14:textId="77777777" w:rsidR="00557550" w:rsidRDefault="00000000">
            <w:pPr>
              <w:pStyle w:val="ListParagraph"/>
              <w:numPr>
                <w:ilvl w:val="0"/>
                <w:numId w:val="2"/>
              </w:numPr>
              <w:spacing w:after="40" w:line="258" w:lineRule="auto"/>
            </w:pPr>
            <w:r>
              <w:t>Radiates to foot or toes; numbness in the same dermatome</w:t>
            </w:r>
          </w:p>
          <w:p w14:paraId="1BA51E38" w14:textId="77777777" w:rsidR="00557550" w:rsidRDefault="00000000">
            <w:pPr>
              <w:pStyle w:val="ListParagraph"/>
              <w:numPr>
                <w:ilvl w:val="0"/>
                <w:numId w:val="2"/>
              </w:numPr>
              <w:spacing w:after="40" w:line="258" w:lineRule="auto"/>
            </w:pPr>
            <w:r>
              <w:t>SLR reproduces the leg pain</w:t>
            </w:r>
          </w:p>
          <w:p w14:paraId="2884FFC5" w14:textId="77777777" w:rsidR="00557550" w:rsidRDefault="00000000">
            <w:pPr>
              <w:pStyle w:val="ListParagraph"/>
              <w:numPr>
                <w:ilvl w:val="0"/>
                <w:numId w:val="2"/>
              </w:numPr>
              <w:spacing w:after="40" w:line="258" w:lineRule="auto"/>
            </w:pPr>
            <w:r>
              <w:t>Localised (single-level) neurological signs</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1154EF9A" w14:textId="77777777" w:rsidR="00557550" w:rsidRDefault="00000000">
            <w:pPr>
              <w:spacing w:line="252" w:lineRule="auto"/>
            </w:pPr>
            <w:r>
              <w:rPr>
                <w:b/>
                <w:bCs/>
                <w:color w:val="1D5FC4"/>
              </w:rPr>
              <w:t>Primary care + review ~6 weeks</w:t>
            </w:r>
            <w:r>
              <w:t xml:space="preserve">. Refer </w:t>
            </w:r>
            <w:r>
              <w:rPr>
                <w:b/>
                <w:bCs/>
                <w:color w:val="C0271F"/>
              </w:rPr>
              <w:t>urgently</w:t>
            </w:r>
            <w:r>
              <w:t xml:space="preserve"> if severe or progressive motor weakness.</w:t>
            </w:r>
          </w:p>
        </w:tc>
      </w:tr>
      <w:tr w:rsidR="00557550" w14:paraId="1A142A5F"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C0271F"/>
            <w:tcMar>
              <w:top w:w="110" w:type="dxa"/>
              <w:left w:w="130" w:type="dxa"/>
              <w:bottom w:w="110" w:type="dxa"/>
              <w:right w:w="120" w:type="dxa"/>
            </w:tcMar>
          </w:tcPr>
          <w:p w14:paraId="68E865F9" w14:textId="77777777" w:rsidR="00557550" w:rsidRDefault="00000000">
            <w:pPr>
              <w:spacing w:after="40" w:line="248" w:lineRule="auto"/>
            </w:pPr>
            <w:r>
              <w:rPr>
                <w:b/>
                <w:bCs/>
                <w:color w:val="FFFFFF"/>
              </w:rPr>
              <w:t>Serious spinal pathology</w:t>
            </w:r>
          </w:p>
          <w:p w14:paraId="369CE4BE" w14:textId="77777777" w:rsidR="00557550" w:rsidRDefault="00000000">
            <w:r>
              <w:rPr>
                <w:b/>
                <w:bCs/>
                <w:caps/>
                <w:color w:val="FFFFFF"/>
                <w:spacing w:val="8"/>
                <w:sz w:val="13"/>
                <w:szCs w:val="13"/>
              </w:rPr>
              <w:t>Red flags</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3C000AFD" w14:textId="77777777" w:rsidR="00557550" w:rsidRDefault="00000000">
            <w:pPr>
              <w:pStyle w:val="ListParagraph"/>
              <w:numPr>
                <w:ilvl w:val="0"/>
                <w:numId w:val="2"/>
              </w:numPr>
              <w:spacing w:after="40" w:line="258" w:lineRule="auto"/>
            </w:pPr>
            <w:r>
              <w:t>New onset under 20 or over 55</w:t>
            </w:r>
          </w:p>
          <w:p w14:paraId="68B26E10" w14:textId="77777777" w:rsidR="00557550" w:rsidRDefault="00000000">
            <w:pPr>
              <w:pStyle w:val="ListParagraph"/>
              <w:numPr>
                <w:ilvl w:val="0"/>
                <w:numId w:val="2"/>
              </w:numPr>
              <w:spacing w:after="40" w:line="258" w:lineRule="auto"/>
            </w:pPr>
            <w:r>
              <w:t xml:space="preserve">Constant, progressive, </w:t>
            </w:r>
            <w:r>
              <w:rPr>
                <w:b/>
                <w:bCs/>
              </w:rPr>
              <w:t>non-mechanical</w:t>
            </w:r>
            <w:r>
              <w:t xml:space="preserve"> pain; worse at night or at rest</w:t>
            </w:r>
          </w:p>
          <w:p w14:paraId="20355A12" w14:textId="77777777" w:rsidR="00557550" w:rsidRDefault="00000000">
            <w:pPr>
              <w:pStyle w:val="ListParagraph"/>
              <w:numPr>
                <w:ilvl w:val="0"/>
                <w:numId w:val="2"/>
              </w:numPr>
              <w:spacing w:after="40" w:line="258" w:lineRule="auto"/>
            </w:pPr>
            <w:r>
              <w:t>Thoracic pain; violent trauma or structural deformity</w:t>
            </w:r>
          </w:p>
          <w:p w14:paraId="39CD1A7D" w14:textId="77777777" w:rsidR="00557550" w:rsidRDefault="00000000">
            <w:pPr>
              <w:pStyle w:val="ListParagraph"/>
              <w:numPr>
                <w:ilvl w:val="0"/>
                <w:numId w:val="2"/>
              </w:numPr>
              <w:spacing w:after="40" w:line="258" w:lineRule="auto"/>
            </w:pPr>
            <w:r>
              <w:t>Systemically unwell, weight loss, night sweats</w:t>
            </w:r>
          </w:p>
          <w:p w14:paraId="0C7DFEDC" w14:textId="77777777" w:rsidR="00557550" w:rsidRDefault="00000000">
            <w:pPr>
              <w:pStyle w:val="ListParagraph"/>
              <w:numPr>
                <w:ilvl w:val="0"/>
                <w:numId w:val="2"/>
              </w:numPr>
              <w:spacing w:after="40" w:line="258" w:lineRule="auto"/>
            </w:pPr>
            <w:r>
              <w:t>PMH cancer, steroids, HIV, osteoporosis, immunosuppression</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58A70268" w14:textId="77777777" w:rsidR="00557550" w:rsidRDefault="00000000">
            <w:pPr>
              <w:spacing w:line="252" w:lineRule="auto"/>
            </w:pPr>
            <w:r>
              <w:rPr>
                <w:b/>
                <w:bCs/>
                <w:color w:val="C0271F"/>
              </w:rPr>
              <w:t>Urgent investigation / referral</w:t>
            </w:r>
            <w:r>
              <w:t xml:space="preserve"> — suspected-cancer pathway (NG12) / cord compression (CG75); infection → urgent.</w:t>
            </w:r>
          </w:p>
        </w:tc>
      </w:tr>
      <w:tr w:rsidR="00557550" w14:paraId="080B639B"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8A1A14"/>
            <w:tcMar>
              <w:top w:w="110" w:type="dxa"/>
              <w:left w:w="130" w:type="dxa"/>
              <w:bottom w:w="110" w:type="dxa"/>
              <w:right w:w="120" w:type="dxa"/>
            </w:tcMar>
          </w:tcPr>
          <w:p w14:paraId="12AA4925" w14:textId="77777777" w:rsidR="00557550" w:rsidRDefault="00000000">
            <w:pPr>
              <w:spacing w:after="40" w:line="248" w:lineRule="auto"/>
            </w:pPr>
            <w:r>
              <w:rPr>
                <w:b/>
                <w:bCs/>
                <w:color w:val="FFFFFF"/>
              </w:rPr>
              <w:lastRenderedPageBreak/>
              <w:t>Cauda equina syndrome</w:t>
            </w:r>
          </w:p>
          <w:p w14:paraId="29C4C09F" w14:textId="77777777" w:rsidR="00557550" w:rsidRDefault="00000000">
            <w:r>
              <w:rPr>
                <w:b/>
                <w:bCs/>
                <w:caps/>
                <w:color w:val="FFFFFF"/>
                <w:spacing w:val="8"/>
                <w:sz w:val="13"/>
                <w:szCs w:val="13"/>
              </w:rPr>
              <w:t>Emergency</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7C1E65BB" w14:textId="77777777" w:rsidR="00557550" w:rsidRDefault="00000000">
            <w:pPr>
              <w:pStyle w:val="ListParagraph"/>
              <w:numPr>
                <w:ilvl w:val="0"/>
                <w:numId w:val="2"/>
              </w:numPr>
              <w:spacing w:after="40" w:line="258" w:lineRule="auto"/>
            </w:pPr>
            <w:r>
              <w:rPr>
                <w:b/>
                <w:bCs/>
              </w:rPr>
              <w:t>Bladder or bowel dysfunction</w:t>
            </w:r>
            <w:r>
              <w:t xml:space="preserve"> — retention, incontinence, loss of the urge to go</w:t>
            </w:r>
          </w:p>
          <w:p w14:paraId="3531AC33" w14:textId="77777777" w:rsidR="00557550" w:rsidRDefault="00000000">
            <w:pPr>
              <w:pStyle w:val="ListParagraph"/>
              <w:numPr>
                <w:ilvl w:val="0"/>
                <w:numId w:val="2"/>
              </w:numPr>
              <w:spacing w:after="40" w:line="258" w:lineRule="auto"/>
            </w:pPr>
            <w:r>
              <w:rPr>
                <w:b/>
                <w:bCs/>
              </w:rPr>
              <w:t>Saddle / perineal / genital</w:t>
            </w:r>
            <w:r>
              <w:t xml:space="preserve"> numbness</w:t>
            </w:r>
          </w:p>
          <w:p w14:paraId="4DA7DE58" w14:textId="77777777" w:rsidR="00557550" w:rsidRDefault="00000000">
            <w:pPr>
              <w:pStyle w:val="ListParagraph"/>
              <w:numPr>
                <w:ilvl w:val="0"/>
                <w:numId w:val="2"/>
              </w:numPr>
              <w:spacing w:after="40" w:line="258" w:lineRule="auto"/>
            </w:pPr>
            <w:r>
              <w:rPr>
                <w:b/>
                <w:bCs/>
              </w:rPr>
              <w:t>Bilateral</w:t>
            </w:r>
            <w:r>
              <w:t xml:space="preserve"> leg pain or sciatica; reduced anal tone; sexual dysfunction</w:t>
            </w:r>
          </w:p>
          <w:p w14:paraId="3C09AA30" w14:textId="77777777" w:rsidR="00557550" w:rsidRDefault="00000000">
            <w:pPr>
              <w:pStyle w:val="ListParagraph"/>
              <w:numPr>
                <w:ilvl w:val="0"/>
                <w:numId w:val="2"/>
              </w:numPr>
              <w:spacing w:after="40" w:line="258" w:lineRule="auto"/>
            </w:pPr>
            <w:r>
              <w:t>Progressive motor weakness or gait disturbance not due to pain</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59D2D392" w14:textId="77777777" w:rsidR="00557550" w:rsidRDefault="00000000">
            <w:pPr>
              <w:spacing w:line="252" w:lineRule="auto"/>
            </w:pPr>
            <w:r>
              <w:rPr>
                <w:b/>
                <w:bCs/>
                <w:color w:val="C0271F"/>
              </w:rPr>
              <w:t>SAME-DAY emergency admission for urgent MRI</w:t>
            </w:r>
            <w:r>
              <w:t xml:space="preserve"> (spinal surgery / neurosurgery). Do not wait.</w:t>
            </w:r>
          </w:p>
        </w:tc>
      </w:tr>
      <w:tr w:rsidR="00557550" w14:paraId="4CF51679"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6A34B8"/>
            <w:tcMar>
              <w:top w:w="110" w:type="dxa"/>
              <w:left w:w="130" w:type="dxa"/>
              <w:bottom w:w="110" w:type="dxa"/>
              <w:right w:w="120" w:type="dxa"/>
            </w:tcMar>
          </w:tcPr>
          <w:p w14:paraId="37F8E370" w14:textId="77777777" w:rsidR="00557550" w:rsidRDefault="00000000">
            <w:pPr>
              <w:spacing w:after="40" w:line="248" w:lineRule="auto"/>
            </w:pPr>
            <w:r>
              <w:rPr>
                <w:b/>
                <w:bCs/>
                <w:color w:val="FFFFFF"/>
              </w:rPr>
              <w:t>Inflammatory disorder</w:t>
            </w:r>
          </w:p>
          <w:p w14:paraId="623A0704" w14:textId="77777777" w:rsidR="00557550" w:rsidRDefault="00000000">
            <w:r>
              <w:rPr>
                <w:b/>
                <w:bCs/>
                <w:caps/>
                <w:color w:val="FFFFFF"/>
                <w:spacing w:val="8"/>
                <w:sz w:val="13"/>
                <w:szCs w:val="13"/>
              </w:rPr>
              <w:t>Axial SpA</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672C21A8" w14:textId="77777777" w:rsidR="00557550" w:rsidRDefault="00000000">
            <w:pPr>
              <w:pStyle w:val="ListParagraph"/>
              <w:numPr>
                <w:ilvl w:val="0"/>
                <w:numId w:val="2"/>
              </w:numPr>
              <w:spacing w:after="40" w:line="258" w:lineRule="auto"/>
            </w:pPr>
            <w:r>
              <w:t>Onset under 40, gradual</w:t>
            </w:r>
          </w:p>
          <w:p w14:paraId="231417E1" w14:textId="77777777" w:rsidR="00557550" w:rsidRDefault="00000000">
            <w:pPr>
              <w:pStyle w:val="ListParagraph"/>
              <w:numPr>
                <w:ilvl w:val="0"/>
                <w:numId w:val="2"/>
              </w:numPr>
              <w:spacing w:after="40" w:line="258" w:lineRule="auto"/>
            </w:pPr>
            <w:r>
              <w:t xml:space="preserve">Marked morning stiffness &gt; 30 min; </w:t>
            </w:r>
            <w:r>
              <w:rPr>
                <w:b/>
                <w:bCs/>
              </w:rPr>
              <w:t>improves with exercise, not rest</w:t>
            </w:r>
          </w:p>
          <w:p w14:paraId="54E4D127" w14:textId="77777777" w:rsidR="00557550" w:rsidRDefault="00000000">
            <w:pPr>
              <w:pStyle w:val="ListParagraph"/>
              <w:numPr>
                <w:ilvl w:val="0"/>
                <w:numId w:val="2"/>
              </w:numPr>
              <w:spacing w:after="40" w:line="258" w:lineRule="auto"/>
            </w:pPr>
            <w:r>
              <w:t>Waking in the second half of the night; alternating buttock pain</w:t>
            </w:r>
          </w:p>
          <w:p w14:paraId="6938AAC5" w14:textId="77777777" w:rsidR="00557550" w:rsidRDefault="00000000">
            <w:pPr>
              <w:pStyle w:val="ListParagraph"/>
              <w:numPr>
                <w:ilvl w:val="0"/>
                <w:numId w:val="2"/>
              </w:numPr>
              <w:spacing w:after="40" w:line="258" w:lineRule="auto"/>
            </w:pPr>
            <w:r>
              <w:t>Uveitis (iritis), psoriasis, colitis/IBD, reactive arthritis; peripheral joint involvement</w:t>
            </w:r>
          </w:p>
          <w:p w14:paraId="3DFC2D18" w14:textId="77777777" w:rsidR="00557550" w:rsidRDefault="00000000">
            <w:pPr>
              <w:pStyle w:val="ListParagraph"/>
              <w:numPr>
                <w:ilvl w:val="0"/>
                <w:numId w:val="2"/>
              </w:numPr>
              <w:spacing w:after="40" w:line="258" w:lineRule="auto"/>
            </w:pPr>
            <w:r>
              <w:t>Family history</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0E5AD048" w14:textId="77777777" w:rsidR="00557550" w:rsidRDefault="00000000">
            <w:pPr>
              <w:spacing w:line="252" w:lineRule="auto"/>
            </w:pPr>
            <w:r>
              <w:rPr>
                <w:b/>
                <w:bCs/>
                <w:color w:val="6A34B8"/>
              </w:rPr>
              <w:t>Refer to rheumatology</w:t>
            </w:r>
            <w:r>
              <w:t xml:space="preserve"> (NICE NG65).</w:t>
            </w:r>
          </w:p>
        </w:tc>
      </w:tr>
      <w:tr w:rsidR="00557550" w14:paraId="7633365B" w14:textId="77777777">
        <w:tblPrEx>
          <w:tblCellMar>
            <w:top w:w="0" w:type="dxa"/>
            <w:bottom w:w="0" w:type="dxa"/>
          </w:tblCellMar>
        </w:tblPrEx>
        <w:trPr>
          <w:cantSplit/>
        </w:trPr>
        <w:tc>
          <w:tcPr>
            <w:tcW w:w="2150" w:type="dxa"/>
            <w:gridSpan w:val="2"/>
            <w:tcBorders>
              <w:top w:val="single" w:sz="8" w:space="0" w:color="FFFFFF"/>
              <w:left w:val="none" w:sz="0" w:space="0" w:color="FFFFFF"/>
              <w:bottom w:val="single" w:sz="8" w:space="0" w:color="FFFFFF"/>
              <w:right w:val="single" w:sz="8" w:space="0" w:color="FFFFFF"/>
            </w:tcBorders>
            <w:shd w:val="clear" w:color="auto" w:fill="2A3340"/>
            <w:tcMar>
              <w:top w:w="110" w:type="dxa"/>
              <w:left w:w="130" w:type="dxa"/>
              <w:bottom w:w="110" w:type="dxa"/>
              <w:right w:w="120" w:type="dxa"/>
            </w:tcMar>
          </w:tcPr>
          <w:p w14:paraId="716C0243" w14:textId="77777777" w:rsidR="00557550" w:rsidRDefault="00000000">
            <w:pPr>
              <w:spacing w:after="40" w:line="248" w:lineRule="auto"/>
            </w:pPr>
            <w:r>
              <w:rPr>
                <w:b/>
                <w:bCs/>
                <w:color w:val="FFFFFF"/>
              </w:rPr>
              <w:t>Problem elsewhere</w:t>
            </w:r>
          </w:p>
          <w:p w14:paraId="579FAA2B" w14:textId="77777777" w:rsidR="00557550" w:rsidRDefault="00000000">
            <w:r>
              <w:rPr>
                <w:b/>
                <w:bCs/>
                <w:caps/>
                <w:color w:val="FFFFFF"/>
                <w:spacing w:val="8"/>
                <w:sz w:val="13"/>
                <w:szCs w:val="13"/>
              </w:rPr>
              <w:t>Visceral / referred</w:t>
            </w:r>
          </w:p>
        </w:tc>
        <w:tc>
          <w:tcPr>
            <w:tcW w:w="5706" w:type="dxa"/>
            <w:tcBorders>
              <w:top w:val="single" w:sz="6" w:space="0" w:color="D9DEE6"/>
              <w:left w:val="none" w:sz="0" w:space="0" w:color="FFFFFF"/>
              <w:bottom w:val="single" w:sz="6" w:space="0" w:color="D9DEE6"/>
              <w:right w:val="single" w:sz="6" w:space="0" w:color="D9DEE6"/>
            </w:tcBorders>
            <w:shd w:val="clear" w:color="auto" w:fill="FFFFFF"/>
            <w:tcMar>
              <w:top w:w="100" w:type="dxa"/>
              <w:left w:w="150" w:type="dxa"/>
              <w:bottom w:w="80" w:type="dxa"/>
              <w:right w:w="140" w:type="dxa"/>
            </w:tcMar>
          </w:tcPr>
          <w:p w14:paraId="235007C5" w14:textId="77777777" w:rsidR="00557550" w:rsidRDefault="00000000">
            <w:pPr>
              <w:pStyle w:val="ListParagraph"/>
              <w:numPr>
                <w:ilvl w:val="0"/>
                <w:numId w:val="2"/>
              </w:numPr>
              <w:spacing w:after="40" w:line="258" w:lineRule="auto"/>
            </w:pPr>
            <w:r>
              <w:rPr>
                <w:b/>
                <w:bCs/>
              </w:rPr>
              <w:t>Abdominal</w:t>
            </w:r>
            <w:r>
              <w:t xml:space="preserve"> — AAA (pulsatile mass + cardiovascular risk), pancreatitis, peptic ulcer</w:t>
            </w:r>
          </w:p>
          <w:p w14:paraId="5046C35E" w14:textId="77777777" w:rsidR="00557550" w:rsidRDefault="00000000">
            <w:pPr>
              <w:pStyle w:val="ListParagraph"/>
              <w:numPr>
                <w:ilvl w:val="0"/>
                <w:numId w:val="2"/>
              </w:numPr>
              <w:spacing w:after="40" w:line="258" w:lineRule="auto"/>
            </w:pPr>
            <w:r>
              <w:t>Renal / ureteric</w:t>
            </w:r>
          </w:p>
          <w:p w14:paraId="45C1CCD5" w14:textId="77777777" w:rsidR="00557550" w:rsidRDefault="00000000">
            <w:pPr>
              <w:pStyle w:val="ListParagraph"/>
              <w:numPr>
                <w:ilvl w:val="0"/>
                <w:numId w:val="2"/>
              </w:numPr>
              <w:spacing w:after="40" w:line="258" w:lineRule="auto"/>
            </w:pPr>
            <w:r>
              <w:rPr>
                <w:b/>
                <w:bCs/>
              </w:rPr>
              <w:t>Gynaecological</w:t>
            </w:r>
            <w:r>
              <w:t xml:space="preserve"> — endometriosis, PID, ectopic</w:t>
            </w:r>
          </w:p>
          <w:p w14:paraId="36DBDF7F" w14:textId="77777777" w:rsidR="00557550" w:rsidRDefault="00000000">
            <w:pPr>
              <w:pStyle w:val="ListParagraph"/>
              <w:numPr>
                <w:ilvl w:val="0"/>
                <w:numId w:val="2"/>
              </w:numPr>
              <w:spacing w:after="40" w:line="258" w:lineRule="auto"/>
            </w:pPr>
            <w:r>
              <w:t>Pain not related to spinal movement</w:t>
            </w:r>
          </w:p>
        </w:tc>
        <w:tc>
          <w:tcPr>
            <w:tcW w:w="2350" w:type="dxa"/>
            <w:gridSpan w:val="2"/>
            <w:tcBorders>
              <w:top w:val="single" w:sz="6" w:space="0" w:color="D9DEE6"/>
              <w:left w:val="none" w:sz="0" w:space="0" w:color="FFFFFF"/>
              <w:bottom w:val="single" w:sz="6" w:space="0" w:color="D9DEE6"/>
              <w:right w:val="none" w:sz="0" w:space="0" w:color="FFFFFF"/>
            </w:tcBorders>
            <w:shd w:val="clear" w:color="auto" w:fill="FBFCFE"/>
            <w:tcMar>
              <w:top w:w="100" w:type="dxa"/>
              <w:left w:w="140" w:type="dxa"/>
              <w:bottom w:w="80" w:type="dxa"/>
              <w:right w:w="130" w:type="dxa"/>
            </w:tcMar>
          </w:tcPr>
          <w:p w14:paraId="2C19D5FE" w14:textId="77777777" w:rsidR="00557550" w:rsidRDefault="00000000">
            <w:pPr>
              <w:spacing w:line="252" w:lineRule="auto"/>
            </w:pPr>
            <w:r>
              <w:rPr>
                <w:b/>
                <w:bCs/>
              </w:rPr>
              <w:t>Diagnose and manage the underlying cause.</w:t>
            </w:r>
          </w:p>
        </w:tc>
      </w:tr>
    </w:tbl>
    <w:p w14:paraId="25B92D08" w14:textId="77777777" w:rsidR="00557550" w:rsidRDefault="00557550">
      <w:pPr>
        <w:spacing w:after="120"/>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206"/>
      </w:tblGrid>
      <w:tr w:rsidR="00557550" w14:paraId="2FCAAD0E" w14:textId="77777777">
        <w:tblPrEx>
          <w:tblCellMar>
            <w:top w:w="0" w:type="dxa"/>
            <w:bottom w:w="0" w:type="dxa"/>
          </w:tblCellMar>
        </w:tblPrEx>
        <w:tc>
          <w:tcPr>
            <w:tcW w:w="10206" w:type="dxa"/>
            <w:tcBorders>
              <w:top w:val="single" w:sz="4" w:space="0" w:color="C0271F"/>
              <w:left w:val="single" w:sz="22" w:space="0" w:color="C0271F"/>
              <w:bottom w:val="single" w:sz="4" w:space="0" w:color="C0271F"/>
              <w:right w:val="single" w:sz="4" w:space="0" w:color="C0271F"/>
            </w:tcBorders>
            <w:shd w:val="clear" w:color="auto" w:fill="FDECEB"/>
            <w:tcMar>
              <w:top w:w="90" w:type="dxa"/>
              <w:left w:w="150" w:type="dxa"/>
              <w:bottom w:w="90" w:type="dxa"/>
              <w:right w:w="140" w:type="dxa"/>
            </w:tcMar>
          </w:tcPr>
          <w:p w14:paraId="4C015C01" w14:textId="77777777" w:rsidR="00557550" w:rsidRDefault="00000000">
            <w:pPr>
              <w:spacing w:after="60" w:line="252" w:lineRule="auto"/>
            </w:pPr>
            <w:r>
              <w:rPr>
                <w:b/>
                <w:bCs/>
                <w:caps/>
                <w:color w:val="C0271F"/>
                <w:spacing w:val="6"/>
                <w:sz w:val="17"/>
                <w:szCs w:val="17"/>
              </w:rPr>
              <w:t>!  The one you must never miss — cauda equina</w:t>
            </w:r>
          </w:p>
          <w:p w14:paraId="6B3372DE" w14:textId="77777777" w:rsidR="00557550" w:rsidRDefault="00000000">
            <w:pPr>
              <w:spacing w:line="264" w:lineRule="auto"/>
            </w:pPr>
            <w:r>
              <w:t xml:space="preserve">Keep a high index of suspicion and ask directly about bladder, bowel, saddle / genital sensation and bilateral leg symptoms — </w:t>
            </w:r>
            <w:r>
              <w:rPr>
                <w:b/>
                <w:bCs/>
              </w:rPr>
              <w:t>including on the telephone</w:t>
            </w:r>
            <w:r>
              <w:t xml:space="preserve">. If suspected, you must arrange </w:t>
            </w:r>
            <w:r>
              <w:rPr>
                <w:b/>
                <w:bCs/>
              </w:rPr>
              <w:t>same-day emergency hospital admission for urgent MRI</w:t>
            </w:r>
            <w:r>
              <w:t xml:space="preserve"> — do not “watch and review”. Document the questions you asked.</w:t>
            </w:r>
          </w:p>
        </w:tc>
      </w:tr>
    </w:tbl>
    <w:p w14:paraId="0D5DB60D" w14:textId="77777777" w:rsidR="00557550" w:rsidRDefault="00557550">
      <w:pPr>
        <w:spacing w:after="80"/>
      </w:pPr>
    </w:p>
    <w:tbl>
      <w:tblPr>
        <w:tblW w:w="1020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4A0" w:firstRow="1" w:lastRow="0" w:firstColumn="1" w:lastColumn="0" w:noHBand="0" w:noVBand="1"/>
      </w:tblPr>
      <w:tblGrid>
        <w:gridCol w:w="5043"/>
        <w:gridCol w:w="120"/>
        <w:gridCol w:w="5043"/>
      </w:tblGrid>
      <w:tr w:rsidR="00557550" w14:paraId="1A22554B" w14:textId="77777777">
        <w:tblPrEx>
          <w:tblCellMar>
            <w:top w:w="0" w:type="dxa"/>
            <w:bottom w:w="0" w:type="dxa"/>
          </w:tblCellMar>
        </w:tblPrEx>
        <w:tc>
          <w:tcPr>
            <w:tcW w:w="5043" w:type="dxa"/>
            <w:tcBorders>
              <w:top w:val="single" w:sz="4" w:space="0" w:color="B9650B"/>
              <w:left w:val="single" w:sz="22" w:space="0" w:color="B9650B"/>
              <w:bottom w:val="single" w:sz="4" w:space="0" w:color="B9650B"/>
              <w:right w:val="single" w:sz="4" w:space="0" w:color="B9650B"/>
            </w:tcBorders>
            <w:shd w:val="clear" w:color="auto" w:fill="FFF4E1"/>
            <w:tcMar>
              <w:top w:w="90" w:type="dxa"/>
              <w:left w:w="140" w:type="dxa"/>
              <w:bottom w:w="90" w:type="dxa"/>
              <w:right w:w="130" w:type="dxa"/>
            </w:tcMar>
          </w:tcPr>
          <w:p w14:paraId="5F1DBA88" w14:textId="77777777" w:rsidR="00557550" w:rsidRDefault="00000000">
            <w:pPr>
              <w:spacing w:after="60"/>
            </w:pPr>
            <w:r>
              <w:rPr>
                <w:b/>
                <w:bCs/>
                <w:caps/>
                <w:color w:val="B9650B"/>
                <w:spacing w:val="5"/>
                <w:sz w:val="16"/>
                <w:szCs w:val="16"/>
              </w:rPr>
              <w:t>Yellow flags — risk of chronicity</w:t>
            </w:r>
          </w:p>
          <w:p w14:paraId="1289DAE3" w14:textId="77777777" w:rsidR="00557550" w:rsidRDefault="00000000">
            <w:pPr>
              <w:spacing w:line="264" w:lineRule="auto"/>
            </w:pPr>
            <w:r>
              <w:t xml:space="preserve">The older label “psychogenic” is unhelpful. Instead, look for </w:t>
            </w:r>
            <w:r>
              <w:rPr>
                <w:b/>
                <w:bCs/>
              </w:rPr>
              <w:t>yellow flags</w:t>
            </w:r>
            <w:r>
              <w:t xml:space="preserve"> — beliefs that the back is damaged, fear of movement, low mood, or expecting a poor outcome. These predict </w:t>
            </w:r>
            <w:r>
              <w:rPr>
                <w:b/>
                <w:bCs/>
              </w:rPr>
              <w:t>chronicity</w:t>
            </w:r>
            <w:r>
              <w:t>, not a sinister cause.</w:t>
            </w:r>
          </w:p>
        </w:tc>
        <w:tc>
          <w:tcPr>
            <w:tcW w:w="120" w:type="dxa"/>
            <w:tcBorders>
              <w:top w:val="none" w:sz="0" w:space="0" w:color="FFFFFF"/>
              <w:left w:val="none" w:sz="0" w:space="0" w:color="FFFFFF"/>
              <w:bottom w:val="none" w:sz="0" w:space="0" w:color="FFFFFF"/>
              <w:right w:val="none" w:sz="0" w:space="0" w:color="FFFFFF"/>
            </w:tcBorders>
          </w:tcPr>
          <w:p w14:paraId="4D9EE405" w14:textId="77777777" w:rsidR="00557550" w:rsidRDefault="00557550"/>
        </w:tc>
        <w:tc>
          <w:tcPr>
            <w:tcW w:w="5043" w:type="dxa"/>
            <w:tcBorders>
              <w:top w:val="single" w:sz="4" w:space="0" w:color="15824B"/>
              <w:left w:val="single" w:sz="22" w:space="0" w:color="15824B"/>
              <w:bottom w:val="single" w:sz="4" w:space="0" w:color="15824B"/>
              <w:right w:val="single" w:sz="4" w:space="0" w:color="15824B"/>
            </w:tcBorders>
            <w:shd w:val="clear" w:color="auto" w:fill="E7F6EE"/>
            <w:tcMar>
              <w:top w:w="90" w:type="dxa"/>
              <w:left w:w="140" w:type="dxa"/>
              <w:bottom w:w="90" w:type="dxa"/>
              <w:right w:w="130" w:type="dxa"/>
            </w:tcMar>
          </w:tcPr>
          <w:p w14:paraId="639E7E70" w14:textId="77777777" w:rsidR="00557550" w:rsidRDefault="00000000">
            <w:pPr>
              <w:spacing w:after="60"/>
            </w:pPr>
            <w:r>
              <w:rPr>
                <w:b/>
                <w:bCs/>
                <w:caps/>
                <w:color w:val="15824B"/>
                <w:spacing w:val="5"/>
                <w:sz w:val="16"/>
                <w:szCs w:val="16"/>
              </w:rPr>
              <w:t>What helps</w:t>
            </w:r>
          </w:p>
          <w:p w14:paraId="52657ABC" w14:textId="77777777" w:rsidR="00557550" w:rsidRDefault="00000000">
            <w:pPr>
              <w:spacing w:line="264" w:lineRule="auto"/>
            </w:pPr>
            <w:r>
              <w:t>Positive, accurate messages (</w:t>
            </w:r>
            <w:r>
              <w:rPr>
                <w:b/>
                <w:bCs/>
              </w:rPr>
              <w:t>pain ≠ damage</w:t>
            </w:r>
            <w:r>
              <w:t xml:space="preserve">; movement is safe), staying active and at work, and early support for those at higher risk (e.g. </w:t>
            </w:r>
            <w:proofErr w:type="spellStart"/>
            <w:r>
              <w:t>STarT</w:t>
            </w:r>
            <w:proofErr w:type="spellEnd"/>
            <w:r>
              <w:t xml:space="preserve"> Back stratification).</w:t>
            </w:r>
          </w:p>
        </w:tc>
      </w:tr>
    </w:tbl>
    <w:p w14:paraId="322ECD4D" w14:textId="77777777" w:rsidR="00557550" w:rsidRDefault="00557550">
      <w:pPr>
        <w:spacing w:after="120"/>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206"/>
      </w:tblGrid>
      <w:tr w:rsidR="00557550" w14:paraId="29D46040" w14:textId="77777777">
        <w:tblPrEx>
          <w:tblCellMar>
            <w:top w:w="0" w:type="dxa"/>
            <w:bottom w:w="0" w:type="dxa"/>
          </w:tblCellMar>
        </w:tblPrEx>
        <w:tc>
          <w:tcPr>
            <w:tcW w:w="10206" w:type="dxa"/>
            <w:tcBorders>
              <w:top w:val="single" w:sz="4" w:space="0" w:color="6A34B8"/>
              <w:left w:val="single" w:sz="22" w:space="0" w:color="6A34B8"/>
              <w:bottom w:val="single" w:sz="4" w:space="0" w:color="6A34B8"/>
              <w:right w:val="single" w:sz="4" w:space="0" w:color="6A34B8"/>
            </w:tcBorders>
            <w:shd w:val="clear" w:color="auto" w:fill="F2ECFB"/>
            <w:tcMar>
              <w:top w:w="90" w:type="dxa"/>
              <w:left w:w="150" w:type="dxa"/>
              <w:bottom w:w="90" w:type="dxa"/>
              <w:right w:w="140" w:type="dxa"/>
            </w:tcMar>
          </w:tcPr>
          <w:p w14:paraId="4886DF82" w14:textId="77777777" w:rsidR="00557550" w:rsidRDefault="00000000">
            <w:pPr>
              <w:spacing w:after="60" w:line="252" w:lineRule="auto"/>
            </w:pPr>
            <w:r>
              <w:rPr>
                <w:b/>
                <w:bCs/>
                <w:caps/>
                <w:color w:val="6A34B8"/>
                <w:spacing w:val="6"/>
                <w:sz w:val="17"/>
                <w:szCs w:val="17"/>
              </w:rPr>
              <w:t>§  Disclaimer</w:t>
            </w:r>
          </w:p>
          <w:p w14:paraId="79396493" w14:textId="77777777" w:rsidR="00557550" w:rsidRDefault="00000000">
            <w:pPr>
              <w:spacing w:line="264" w:lineRule="auto"/>
            </w:pPr>
            <w:r>
              <w:rPr>
                <w:sz w:val="18"/>
                <w:szCs w:val="18"/>
              </w:rPr>
              <w:t>This document is provided exclusively for education and training as a teaching aid. It does not constitute formal clinical guidance. Clinicians must independently verify all medical information, prescribing guidance and referral criteria against current national guidance and local policies before applying in practice.</w:t>
            </w:r>
          </w:p>
        </w:tc>
      </w:tr>
    </w:tbl>
    <w:p w14:paraId="537D5309" w14:textId="77777777" w:rsidR="00557550" w:rsidRDefault="00557550">
      <w:pPr>
        <w:spacing w:after="70"/>
      </w:pPr>
    </w:p>
    <w:tbl>
      <w:tblPr>
        <w:tblW w:w="10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206"/>
      </w:tblGrid>
      <w:tr w:rsidR="00557550" w14:paraId="0E66F418" w14:textId="77777777">
        <w:tblPrEx>
          <w:tblCellMar>
            <w:top w:w="0" w:type="dxa"/>
            <w:bottom w:w="0" w:type="dxa"/>
          </w:tblCellMar>
        </w:tblPrEx>
        <w:tc>
          <w:tcPr>
            <w:tcW w:w="10206" w:type="dxa"/>
            <w:tcBorders>
              <w:top w:val="none" w:sz="0" w:space="0" w:color="FFFFFF"/>
              <w:left w:val="single" w:sz="18" w:space="0" w:color="E2661A"/>
              <w:bottom w:val="none" w:sz="0" w:space="0" w:color="FFFFFF"/>
              <w:right w:val="none" w:sz="0" w:space="0" w:color="FFFFFF"/>
            </w:tcBorders>
            <w:shd w:val="clear" w:color="auto" w:fill="F6F8FA"/>
            <w:tcMar>
              <w:top w:w="80" w:type="dxa"/>
              <w:left w:w="150" w:type="dxa"/>
              <w:bottom w:w="80" w:type="dxa"/>
              <w:right w:w="140" w:type="dxa"/>
            </w:tcMar>
          </w:tcPr>
          <w:p w14:paraId="09E76DAB" w14:textId="77777777" w:rsidR="00557550" w:rsidRDefault="00000000">
            <w:pPr>
              <w:spacing w:line="264" w:lineRule="auto"/>
            </w:pPr>
            <w:r>
              <w:rPr>
                <w:b/>
                <w:bCs/>
                <w:sz w:val="15"/>
                <w:szCs w:val="15"/>
              </w:rPr>
              <w:t xml:space="preserve">Sources: </w:t>
            </w:r>
            <w:r>
              <w:rPr>
                <w:color w:val="5A6675"/>
                <w:sz w:val="15"/>
                <w:szCs w:val="15"/>
              </w:rPr>
              <w:t>NICE NG59 Low back pain and sciatica in over 16s; NICE CKS Sciatica (lumbar radiculopathy) and Back pain; NICE NG12 (suspected cancer), CG75 (metastatic spinal cord compression), NG65 (spondyloarthritis). This teaching aid modernises an earlier Bradford VTS triage table — outdated entries (“menopause”, “psychogenic cause”) have been replaced with current visceral causes and a yellow-flags note. Verify against current guidance and local pathways before use.</w:t>
            </w:r>
          </w:p>
        </w:tc>
      </w:tr>
    </w:tbl>
    <w:p w14:paraId="1EAEEE53" w14:textId="77777777" w:rsidR="00422086" w:rsidRDefault="00422086"/>
    <w:sectPr w:rsidR="00422086">
      <w:footerReference w:type="default" r:id="rId8"/>
      <w:pgSz w:w="11906" w:h="16838"/>
      <w:pgMar w:top="680" w:right="850" w:bottom="1000" w:left="85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D7DBE" w14:textId="77777777" w:rsidR="00422086" w:rsidRDefault="00422086">
      <w:r>
        <w:separator/>
      </w:r>
    </w:p>
  </w:endnote>
  <w:endnote w:type="continuationSeparator" w:id="0">
    <w:p w14:paraId="2F69CD6D" w14:textId="77777777" w:rsidR="00422086" w:rsidRDefault="004220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75665" w14:textId="77777777" w:rsidR="00557550" w:rsidRDefault="00000000">
    <w:pPr>
      <w:tabs>
        <w:tab w:val="right" w:pos="10206"/>
      </w:tabs>
    </w:pPr>
    <w:r>
      <w:rPr>
        <w:color w:val="8A93A0"/>
        <w:sz w:val="13"/>
        <w:szCs w:val="13"/>
      </w:rPr>
      <w:t>Bradford VTS Teaching Aid · Educational use only — verify against current NICE guidance and local policy before use.</w:t>
    </w:r>
    <w:r>
      <w:rPr>
        <w:b/>
        <w:bCs/>
        <w:color w:val="8A93A0"/>
        <w:sz w:val="13"/>
        <w:szCs w:val="13"/>
      </w:rPr>
      <w:tab/>
      <w:t xml:space="preserve">Page </w:t>
    </w:r>
    <w:r>
      <w:rPr>
        <w:b/>
        <w:bCs/>
        <w:color w:val="E2661A"/>
        <w:sz w:val="13"/>
        <w:szCs w:val="13"/>
      </w:rPr>
      <w:fldChar w:fldCharType="begin"/>
    </w:r>
    <w:r>
      <w:rPr>
        <w:b/>
        <w:bCs/>
        <w:color w:val="E2661A"/>
        <w:sz w:val="13"/>
        <w:szCs w:val="13"/>
      </w:rPr>
      <w:instrText>PAGE</w:instrText>
    </w:r>
    <w:r>
      <w:rPr>
        <w:b/>
        <w:bCs/>
        <w:color w:val="E2661A"/>
        <w:sz w:val="13"/>
        <w:szCs w:val="13"/>
      </w:rPr>
      <w:fldChar w:fldCharType="separate"/>
    </w:r>
    <w:r w:rsidR="00521AEC">
      <w:rPr>
        <w:b/>
        <w:bCs/>
        <w:noProof/>
        <w:color w:val="E2661A"/>
        <w:sz w:val="13"/>
        <w:szCs w:val="13"/>
      </w:rPr>
      <w:t>1</w:t>
    </w:r>
    <w:r>
      <w:rPr>
        <w:b/>
        <w:bCs/>
        <w:color w:val="E2661A"/>
        <w:sz w:val="13"/>
        <w:szCs w:val="13"/>
      </w:rPr>
      <w:fldChar w:fldCharType="end"/>
    </w:r>
    <w:r>
      <w:rPr>
        <w:b/>
        <w:bCs/>
        <w:color w:val="8A93A0"/>
        <w:sz w:val="13"/>
        <w:szCs w:val="13"/>
      </w:rPr>
      <w:t xml:space="preserve"> / </w:t>
    </w:r>
    <w:r>
      <w:rPr>
        <w:b/>
        <w:bCs/>
        <w:color w:val="E2661A"/>
        <w:sz w:val="13"/>
        <w:szCs w:val="13"/>
      </w:rPr>
      <w:fldChar w:fldCharType="begin"/>
    </w:r>
    <w:r>
      <w:rPr>
        <w:b/>
        <w:bCs/>
        <w:color w:val="E2661A"/>
        <w:sz w:val="13"/>
        <w:szCs w:val="13"/>
      </w:rPr>
      <w:instrText>NUMPAGES</w:instrText>
    </w:r>
    <w:r>
      <w:rPr>
        <w:b/>
        <w:bCs/>
        <w:color w:val="E2661A"/>
        <w:sz w:val="13"/>
        <w:szCs w:val="13"/>
      </w:rPr>
      <w:fldChar w:fldCharType="separate"/>
    </w:r>
    <w:r w:rsidR="00521AEC">
      <w:rPr>
        <w:b/>
        <w:bCs/>
        <w:noProof/>
        <w:color w:val="E2661A"/>
        <w:sz w:val="13"/>
        <w:szCs w:val="13"/>
      </w:rPr>
      <w:t>2</w:t>
    </w:r>
    <w:r>
      <w:rPr>
        <w:b/>
        <w:bCs/>
        <w:color w:val="E2661A"/>
        <w:sz w:val="13"/>
        <w:szCs w:val="13"/>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4B393E" w14:textId="77777777" w:rsidR="00422086" w:rsidRDefault="00422086">
      <w:r>
        <w:separator/>
      </w:r>
    </w:p>
  </w:footnote>
  <w:footnote w:type="continuationSeparator" w:id="0">
    <w:p w14:paraId="5399CB69" w14:textId="77777777" w:rsidR="00422086" w:rsidRDefault="004220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230AD4"/>
    <w:multiLevelType w:val="hybridMultilevel"/>
    <w:tmpl w:val="17021EEE"/>
    <w:lvl w:ilvl="0" w:tplc="01880CDA">
      <w:start w:val="1"/>
      <w:numFmt w:val="bullet"/>
      <w:lvlText w:val="•"/>
      <w:lvlJc w:val="left"/>
      <w:pPr>
        <w:ind w:left="250" w:hanging="180"/>
      </w:pPr>
      <w:rPr>
        <w:color w:val="E2661A"/>
      </w:rPr>
    </w:lvl>
    <w:lvl w:ilvl="1" w:tplc="6D70D756">
      <w:numFmt w:val="decimal"/>
      <w:lvlText w:val=""/>
      <w:lvlJc w:val="left"/>
    </w:lvl>
    <w:lvl w:ilvl="2" w:tplc="BC20CFC8">
      <w:numFmt w:val="decimal"/>
      <w:lvlText w:val=""/>
      <w:lvlJc w:val="left"/>
    </w:lvl>
    <w:lvl w:ilvl="3" w:tplc="AF8E6E2E">
      <w:numFmt w:val="decimal"/>
      <w:lvlText w:val=""/>
      <w:lvlJc w:val="left"/>
    </w:lvl>
    <w:lvl w:ilvl="4" w:tplc="4476F62C">
      <w:numFmt w:val="decimal"/>
      <w:lvlText w:val=""/>
      <w:lvlJc w:val="left"/>
    </w:lvl>
    <w:lvl w:ilvl="5" w:tplc="9296EEFA">
      <w:numFmt w:val="decimal"/>
      <w:lvlText w:val=""/>
      <w:lvlJc w:val="left"/>
    </w:lvl>
    <w:lvl w:ilvl="6" w:tplc="961AF760">
      <w:numFmt w:val="decimal"/>
      <w:lvlText w:val=""/>
      <w:lvlJc w:val="left"/>
    </w:lvl>
    <w:lvl w:ilvl="7" w:tplc="DC6CDE76">
      <w:numFmt w:val="decimal"/>
      <w:lvlText w:val=""/>
      <w:lvlJc w:val="left"/>
    </w:lvl>
    <w:lvl w:ilvl="8" w:tplc="DBF028A2">
      <w:numFmt w:val="decimal"/>
      <w:lvlText w:val=""/>
      <w:lvlJc w:val="left"/>
    </w:lvl>
  </w:abstractNum>
  <w:abstractNum w:abstractNumId="1" w15:restartNumberingAfterBreak="0">
    <w:nsid w:val="69F953B8"/>
    <w:multiLevelType w:val="hybridMultilevel"/>
    <w:tmpl w:val="CB7024EA"/>
    <w:lvl w:ilvl="0" w:tplc="766A2570">
      <w:start w:val="1"/>
      <w:numFmt w:val="bullet"/>
      <w:lvlText w:val="●"/>
      <w:lvlJc w:val="left"/>
      <w:pPr>
        <w:ind w:left="720" w:hanging="360"/>
      </w:pPr>
    </w:lvl>
    <w:lvl w:ilvl="1" w:tplc="9C563804">
      <w:start w:val="1"/>
      <w:numFmt w:val="bullet"/>
      <w:lvlText w:val="○"/>
      <w:lvlJc w:val="left"/>
      <w:pPr>
        <w:ind w:left="1440" w:hanging="360"/>
      </w:pPr>
    </w:lvl>
    <w:lvl w:ilvl="2" w:tplc="50704AEC">
      <w:start w:val="1"/>
      <w:numFmt w:val="bullet"/>
      <w:lvlText w:val="■"/>
      <w:lvlJc w:val="left"/>
      <w:pPr>
        <w:ind w:left="2160" w:hanging="360"/>
      </w:pPr>
    </w:lvl>
    <w:lvl w:ilvl="3" w:tplc="C2ACBB80">
      <w:start w:val="1"/>
      <w:numFmt w:val="bullet"/>
      <w:lvlText w:val="●"/>
      <w:lvlJc w:val="left"/>
      <w:pPr>
        <w:ind w:left="2880" w:hanging="360"/>
      </w:pPr>
    </w:lvl>
    <w:lvl w:ilvl="4" w:tplc="C87AAB0E">
      <w:start w:val="1"/>
      <w:numFmt w:val="bullet"/>
      <w:lvlText w:val="○"/>
      <w:lvlJc w:val="left"/>
      <w:pPr>
        <w:ind w:left="3600" w:hanging="360"/>
      </w:pPr>
    </w:lvl>
    <w:lvl w:ilvl="5" w:tplc="C3AAD114">
      <w:start w:val="1"/>
      <w:numFmt w:val="bullet"/>
      <w:lvlText w:val="■"/>
      <w:lvlJc w:val="left"/>
      <w:pPr>
        <w:ind w:left="4320" w:hanging="360"/>
      </w:pPr>
    </w:lvl>
    <w:lvl w:ilvl="6" w:tplc="6B82F122">
      <w:start w:val="1"/>
      <w:numFmt w:val="bullet"/>
      <w:lvlText w:val="●"/>
      <w:lvlJc w:val="left"/>
      <w:pPr>
        <w:ind w:left="5040" w:hanging="360"/>
      </w:pPr>
    </w:lvl>
    <w:lvl w:ilvl="7" w:tplc="51BE73E0">
      <w:start w:val="1"/>
      <w:numFmt w:val="bullet"/>
      <w:lvlText w:val="●"/>
      <w:lvlJc w:val="left"/>
      <w:pPr>
        <w:ind w:left="5760" w:hanging="360"/>
      </w:pPr>
    </w:lvl>
    <w:lvl w:ilvl="8" w:tplc="D8D61136">
      <w:start w:val="1"/>
      <w:numFmt w:val="bullet"/>
      <w:lvlText w:val="●"/>
      <w:lvlJc w:val="left"/>
      <w:pPr>
        <w:ind w:left="6480" w:hanging="360"/>
      </w:pPr>
    </w:lvl>
  </w:abstractNum>
  <w:num w:numId="1" w16cid:durableId="12153266">
    <w:abstractNumId w:val="1"/>
    <w:lvlOverride w:ilvl="0">
      <w:startOverride w:val="1"/>
    </w:lvlOverride>
  </w:num>
  <w:num w:numId="2" w16cid:durableId="208333582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550"/>
    <w:rsid w:val="00422086"/>
    <w:rsid w:val="00521AEC"/>
    <w:rsid w:val="00557550"/>
    <w:rsid w:val="00D529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EEC75"/>
  <w15:docId w15:val="{B05A1987-F131-49F3-BAEB-91ED553B2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C2530"/>
        <w:sz w:val="19"/>
        <w:szCs w:val="19"/>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615</Words>
  <Characters>3511</Characters>
  <Application>Microsoft Office Word</Application>
  <DocSecurity>0</DocSecurity>
  <Lines>29</Lines>
  <Paragraphs>8</Paragraphs>
  <ScaleCrop>false</ScaleCrop>
  <Company/>
  <LinksUpToDate>false</LinksUpToDate>
  <CharactersWithSpaces>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2026-06-19T16:33:00Z</dcterms:created>
  <dcterms:modified xsi:type="dcterms:W3CDTF">2026-06-19T17:26:00Z</dcterms:modified>
</cp:coreProperties>
</file>