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MUSCULOSKELETAL SKILLS · CLINICAL REFERENCE</w:t>
      </w:r>
    </w:p>
    <w:p>
      <w:pPr>
        <w:spacing w:after="40"/>
      </w:pPr>
      <w:r>
        <w:rPr>
          <w:rFonts w:ascii="Arial" w:cs="Arial" w:eastAsia="Arial" w:hAnsi="Arial"/>
          <w:b/>
          <w:bCs/>
          <w:color w:val="1A2230"/>
          <w:sz w:val="40"/>
          <w:szCs w:val="40"/>
        </w:rPr>
        <w:t xml:space="preserve">Carpal Tunnel Syndrome</w:t>
      </w:r>
    </w:p>
    <w:p>
      <w:pPr>
        <w:spacing w:after="60"/>
      </w:pPr>
      <w:r>
        <w:rPr>
          <w:rFonts w:ascii="Arial" w:cs="Arial" w:eastAsia="Arial" w:hAnsi="Arial"/>
          <w:color w:val="5E6E7E"/>
          <w:sz w:val="22"/>
          <w:szCs w:val="22"/>
        </w:rPr>
        <w:t xml:space="preserve">Spotting it, assessing it, and managing it well — for GP trainees and IMGs</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THE BIG IDEA</w:t>
            </w:r>
          </w:p>
          <w:p>
            <w:pPr>
              <w:spacing w:after="50"/>
            </w:pPr>
            <w:r>
              <w:rPr>
                <w:rFonts w:ascii="Arial" w:cs="Arial" w:eastAsia="Arial" w:hAnsi="Arial"/>
              </w:rPr>
              <w:t xml:space="preserve">Carpal tunnel syndrome is the median nerve being squeezed as it passes through the wrist. The diagnosis is </w:t>
            </w:r>
            <w:r>
              <w:rPr>
                <w:rFonts w:ascii="Arial" w:cs="Arial" w:eastAsia="Arial" w:hAnsi="Arial"/>
                <w:b/>
                <w:bCs/>
                <w:color w:val="1A2230"/>
              </w:rPr>
              <w:t xml:space="preserve">clinical</w:t>
            </w:r>
            <w:r>
              <w:rPr>
                <w:rFonts w:ascii="Arial" w:cs="Arial" w:eastAsia="Arial" w:hAnsi="Arial"/>
              </w:rPr>
              <w:t xml:space="preserve"> — a good history beats any single test. Most cases are mild and many settle, but </w:t>
            </w:r>
            <w:r>
              <w:rPr>
                <w:rFonts w:ascii="Arial" w:cs="Arial" w:eastAsia="Arial" w:hAnsi="Arial"/>
                <w:b/>
                <w:bCs/>
                <w:color w:val="1A2230"/>
              </w:rPr>
              <w:t xml:space="preserve">constant numbness or wasting of the thumb muscles means urgent referral</w:t>
            </w:r>
            <w:r>
              <w:rPr>
                <w:rFonts w:ascii="Arial" w:cs="Arial" w:eastAsia="Arial" w:hAnsi="Arial"/>
              </w:rPr>
              <w:t xml:space="preserve"> to protect the nerve.</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Recognise it — the median nerve story</w:t>
      </w:r>
    </w:p>
    <w:p>
      <w:pPr>
        <w:spacing w:after="140"/>
      </w:pPr>
      <w:r>
        <w:rPr>
          <w:rFonts w:ascii="Arial" w:cs="Arial" w:eastAsia="Arial" w:hAnsi="Arial"/>
          <w:color w:val="283545"/>
          <w:sz w:val="22"/>
          <w:szCs w:val="22"/>
        </w:rPr>
        <w:t xml:space="preserve">The symptoms follow the median nerve’s territory in the hand. Picture where the nerve goes and the diagnosis tells itself.</w:t>
      </w:r>
    </w:p>
    <w:p>
      <w:pPr>
        <w:spacing w:after="60" w:before="60"/>
        <w:jc w:val="center"/>
      </w:pPr>
      <w:r>
        <w:drawing>
          <wp:inline distT="0" distB="0" distL="0" distR="0">
            <wp:extent cx="3048000" cy="3048000"/>
            <wp:effectExtent t="0" r="0" b="0" l="0"/>
            <wp:docPr id="1" name="diagram" descr="Thumb, index, middle, radial ring" title="Median nerve terri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3048000" cy="3048000"/>
                    </a:xfrm>
                    <a:prstGeom prst="rect">
                      <a:avLst/>
                    </a:prstGeom>
                  </pic:spPr>
                </pic:pic>
              </a:graphicData>
            </a:graphic>
          </wp:inline>
        </w:drawing>
      </w:r>
    </w:p>
    <w:p>
      <w:pPr>
        <w:spacing w:after="40"/>
      </w:pPr>
      <w:r>
        <w:rPr>
          <w:rFonts w:ascii="Arial" w:cs="Arial" w:eastAsia="Arial" w:hAnsi="Arial"/>
        </w:rPr>
        <w:t xml:space="preserve"/>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3100"/>
        <w:gridCol w:w="6646"/>
      </w:tblGrid>
      <w:tr>
        <w:trPr>
          <w:cantSplit/>
          <w:tblHeader/>
        </w:trPr>
        <w:tc>
          <w:tcPr>
            <w:tcW w:type="dxa" w:w="31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Clue</w:t>
            </w:r>
          </w:p>
        </w:tc>
        <w:tc>
          <w:tcPr>
            <w:tcW w:type="dxa" w:w="6646"/>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What the patient describes</w:t>
            </w:r>
          </w:p>
        </w:tc>
      </w:tr>
      <w:tr>
        <w:trPr>
          <w:cantSplit/>
        </w:trPr>
        <w:tc>
          <w:tcPr>
            <w:tcW w:type="dxa" w:w="31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Where</w:t>
            </w:r>
          </w:p>
        </w:tc>
        <w:tc>
          <w:tcPr>
            <w:tcW w:type="dxa" w:w="66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Tingling, numbness or pain in the THUMB, INDEX, MIDDLE and the thumb-side of the RING finger. The little finger is spared.</w:t>
            </w:r>
          </w:p>
        </w:tc>
      </w:tr>
      <w:tr>
        <w:trPr>
          <w:cantSplit/>
        </w:trPr>
        <w:tc>
          <w:tcPr>
            <w:tcW w:type="dxa" w:w="31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When</w:t>
            </w:r>
          </w:p>
        </w:tc>
        <w:tc>
          <w:tcPr>
            <w:tcW w:type="dxa" w:w="66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Worse at NIGHT — it wakes them from sleep.</w:t>
            </w:r>
          </w:p>
        </w:tc>
      </w:tr>
      <w:tr>
        <w:trPr>
          <w:cantSplit/>
        </w:trPr>
        <w:tc>
          <w:tcPr>
            <w:tcW w:type="dxa" w:w="31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The flick sign</w:t>
            </w:r>
          </w:p>
        </w:tc>
        <w:tc>
          <w:tcPr>
            <w:tcW w:type="dxa" w:w="66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They shake or “flick” the wrist to relieve it — a strongly suggestive clue.</w:t>
            </w:r>
          </w:p>
        </w:tc>
      </w:tr>
      <w:tr>
        <w:trPr>
          <w:cantSplit/>
        </w:trPr>
        <w:tc>
          <w:tcPr>
            <w:tcW w:type="dxa" w:w="31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Later</w:t>
            </w:r>
          </w:p>
        </w:tc>
        <w:tc>
          <w:tcPr>
            <w:tcW w:type="dxa" w:w="66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Weakness, clumsiness, dropping things, and wasting of the thumb (thenar) muscles.</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ℹ  </w:t>
            </w:r>
            <w:r>
              <w:rPr>
                <w:rFonts w:ascii="Arial" w:cs="Arial" w:eastAsia="Arial" w:hAnsi="Arial"/>
                <w:b/>
                <w:bCs/>
                <w:color w:val="1F4E79"/>
                <w:spacing w:val="6"/>
                <w:sz w:val="21"/>
                <w:szCs w:val="21"/>
              </w:rPr>
              <w:t xml:space="preserve">WHO GETS IT</w:t>
            </w:r>
          </w:p>
          <w:p>
            <w:pPr>
              <w:spacing w:after="50"/>
            </w:pPr>
            <w:r>
              <w:rPr>
                <w:rFonts w:ascii="Arial" w:cs="Arial" w:eastAsia="Arial" w:hAnsi="Arial"/>
              </w:rPr>
              <w:t xml:space="preserve">Often there is no cause (idiopathic). Look for the treatable associations: </w:t>
            </w:r>
            <w:r>
              <w:rPr>
                <w:rFonts w:ascii="Arial" w:cs="Arial" w:eastAsia="Arial" w:hAnsi="Arial"/>
                <w:b/>
                <w:bCs/>
                <w:color w:val="1A2230"/>
              </w:rPr>
              <w:t xml:space="preserve">pregnancy, hypothyroidism, diabetes, rheumatoid arthritis and obesity.</w:t>
            </w:r>
            <w:r>
              <w:rPr>
                <w:rFonts w:ascii="Arial" w:cs="Arial" w:eastAsia="Arial" w:hAnsi="Arial"/>
              </w:rPr>
              <w:t xml:space="preserve"> Occupation and hobbies matter too — sustained gripping, vibration, or leaning on the wrist (for example, cycling).</w:t>
            </w:r>
          </w:p>
        </w:tc>
      </w:tr>
    </w:tbl>
    <w:p>
      <w:pPr>
        <w:spacing w:after="6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Assess it</w:t>
      </w:r>
    </w:p>
    <w:p>
      <w:pPr>
        <w:keepNext/>
        <w:spacing w:after="70" w:before="180"/>
      </w:pPr>
      <w:r>
        <w:rPr>
          <w:rFonts w:ascii="Arial" w:cs="Arial" w:eastAsia="Arial" w:hAnsi="Arial"/>
          <w:b/>
          <w:bCs/>
          <w:color w:val="C2530F"/>
          <w:sz w:val="23"/>
          <w:szCs w:val="23"/>
        </w:rPr>
        <w:t xml:space="preserve">Examine</w:t>
      </w:r>
    </w:p>
    <w:p>
      <w:pPr>
        <w:pStyle w:val="ListParagraph"/>
        <w:numPr>
          <w:ilvl w:val="0"/>
          <w:numId w:val="2"/>
        </w:numPr>
        <w:spacing w:after="60"/>
      </w:pPr>
      <w:r>
        <w:rPr>
          <w:rFonts w:ascii="Arial" w:cs="Arial" w:eastAsia="Arial" w:hAnsi="Arial"/>
          <w:b/>
          <w:bCs/>
          <w:color w:val="1A2230"/>
        </w:rPr>
        <w:t xml:space="preserve">Look: </w:t>
      </w:r>
      <w:r>
        <w:rPr>
          <w:rFonts w:ascii="Arial" w:cs="Arial" w:eastAsia="Arial" w:hAnsi="Arial"/>
        </w:rPr>
        <w:t xml:space="preserve">wasting of the thenar (thumb-base) muscles — a sign of more advanced disease.</w:t>
      </w:r>
    </w:p>
    <w:p>
      <w:pPr>
        <w:pStyle w:val="ListParagraph"/>
        <w:numPr>
          <w:ilvl w:val="0"/>
          <w:numId w:val="2"/>
        </w:numPr>
        <w:spacing w:after="60"/>
      </w:pPr>
      <w:r>
        <w:rPr>
          <w:rFonts w:ascii="Arial" w:cs="Arial" w:eastAsia="Arial" w:hAnsi="Arial"/>
          <w:b/>
          <w:bCs/>
          <w:color w:val="1A2230"/>
        </w:rPr>
        <w:t xml:space="preserve">Test power: </w:t>
      </w:r>
      <w:r>
        <w:rPr>
          <w:rFonts w:ascii="Arial" w:cs="Arial" w:eastAsia="Arial" w:hAnsi="Arial"/>
        </w:rPr>
        <w:t xml:space="preserve">thumb abduction (the median-supplied abductor pollicis brevis) and opposition.</w:t>
      </w:r>
    </w:p>
    <w:p>
      <w:pPr>
        <w:pStyle w:val="ListParagraph"/>
        <w:numPr>
          <w:ilvl w:val="0"/>
          <w:numId w:val="2"/>
        </w:numPr>
        <w:spacing w:after="60"/>
      </w:pPr>
      <w:r>
        <w:rPr>
          <w:rFonts w:ascii="Arial" w:cs="Arial" w:eastAsia="Arial" w:hAnsi="Arial"/>
          <w:b/>
          <w:bCs/>
          <w:color w:val="1A2230"/>
        </w:rPr>
        <w:t xml:space="preserve">Test sensation </w:t>
      </w:r>
      <w:r>
        <w:rPr>
          <w:rFonts w:ascii="Arial" w:cs="Arial" w:eastAsia="Arial" w:hAnsi="Arial"/>
        </w:rPr>
        <w:t xml:space="preserve">over the median territory.</w:t>
      </w:r>
    </w:p>
    <w:p>
      <w:pPr>
        <w:pStyle w:val="ListParagraph"/>
        <w:numPr>
          <w:ilvl w:val="0"/>
          <w:numId w:val="2"/>
        </w:numPr>
        <w:spacing w:after="60"/>
      </w:pPr>
      <w:r>
        <w:rPr>
          <w:rFonts w:ascii="Arial" w:cs="Arial" w:eastAsia="Arial" w:hAnsi="Arial"/>
          <w:b/>
          <w:bCs/>
          <w:color w:val="1A2230"/>
        </w:rPr>
        <w:t xml:space="preserve">Provocation tests: </w:t>
      </w:r>
      <w:r>
        <w:rPr>
          <w:rFonts w:ascii="Arial" w:cs="Arial" w:eastAsia="Arial" w:hAnsi="Arial"/>
        </w:rPr>
        <w:t xml:space="preserve">Tinel’s (tapping over the tunnel) and Phalen’s (holding the wrist flexed) may reproduce the symptoms.</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A KEY EXAM TRAP</w:t>
            </w:r>
          </w:p>
          <w:p>
            <w:pPr>
              <w:spacing w:after="50"/>
            </w:pPr>
            <w:r>
              <w:rPr>
                <w:rFonts w:ascii="Arial" w:cs="Arial" w:eastAsia="Arial" w:hAnsi="Arial"/>
              </w:rPr>
              <w:t xml:space="preserve">Tinel’s and Phalen’s tests have </w:t>
            </w:r>
            <w:r>
              <w:rPr>
                <w:rFonts w:ascii="Arial" w:cs="Arial" w:eastAsia="Arial" w:hAnsi="Arial"/>
                <w:b/>
                <w:bCs/>
                <w:color w:val="1A2230"/>
              </w:rPr>
              <w:t xml:space="preserve">low sensitivity</w:t>
            </w:r>
            <w:r>
              <w:rPr>
                <w:rFonts w:ascii="Arial" w:cs="Arial" w:eastAsia="Arial" w:hAnsi="Arial"/>
              </w:rPr>
              <w:t xml:space="preserve"> — a NEGATIVE test does NOT rule out carpal tunnel syndrome. A positive test supports the diagnosis, but a good history carries far more weight than either sign.</w:t>
            </w:r>
          </w:p>
        </w:tc>
      </w:tr>
    </w:tbl>
    <w:p>
      <w:pPr>
        <w:keepNext/>
        <w:spacing w:after="70" w:before="180"/>
      </w:pPr>
      <w:r>
        <w:rPr>
          <w:rFonts w:ascii="Arial" w:cs="Arial" w:eastAsia="Arial" w:hAnsi="Arial"/>
          <w:b/>
          <w:bCs/>
          <w:color w:val="C2530F"/>
          <w:sz w:val="23"/>
          <w:szCs w:val="23"/>
        </w:rPr>
        <w:t xml:space="preserve">Investigate — only when it changes your plan</w:t>
      </w:r>
    </w:p>
    <w:p>
      <w:pPr>
        <w:pStyle w:val="ListParagraph"/>
        <w:numPr>
          <w:ilvl w:val="0"/>
          <w:numId w:val="2"/>
        </w:numPr>
        <w:spacing w:after="60"/>
      </w:pPr>
      <w:r>
        <w:rPr>
          <w:rFonts w:ascii="Arial" w:cs="Arial" w:eastAsia="Arial" w:hAnsi="Arial"/>
          <w:b/>
          <w:bCs/>
          <w:color w:val="1A2230"/>
        </w:rPr>
        <w:t xml:space="preserve">Most cases need no test. </w:t>
      </w:r>
      <w:r>
        <w:rPr>
          <w:rFonts w:ascii="Arial" w:cs="Arial" w:eastAsia="Arial" w:hAnsi="Arial"/>
        </w:rPr>
        <w:t xml:space="preserve">A typical history and examination are enough to diagnose and to start treatment.</w:t>
      </w:r>
    </w:p>
    <w:p>
      <w:pPr>
        <w:pStyle w:val="ListParagraph"/>
        <w:numPr>
          <w:ilvl w:val="0"/>
          <w:numId w:val="2"/>
        </w:numPr>
        <w:spacing w:after="60"/>
      </w:pPr>
      <w:r>
        <w:rPr>
          <w:rFonts w:ascii="Arial" w:cs="Arial" w:eastAsia="Arial" w:hAnsi="Arial"/>
          <w:b/>
          <w:bCs/>
          <w:color w:val="1A2230"/>
        </w:rPr>
        <w:t xml:space="preserve">Nerve conduction studies </w:t>
      </w:r>
      <w:r>
        <w:rPr>
          <w:rFonts w:ascii="Arial" w:cs="Arial" w:eastAsia="Arial" w:hAnsi="Arial"/>
        </w:rPr>
        <w:t xml:space="preserve">are useful when the picture is atypical or uncertain, when another diagnosis is possible, or when surgery is being planned.</w:t>
      </w:r>
    </w:p>
    <w:p>
      <w:pPr>
        <w:pStyle w:val="ListParagraph"/>
        <w:numPr>
          <w:ilvl w:val="0"/>
          <w:numId w:val="2"/>
        </w:numPr>
        <w:spacing w:after="60"/>
      </w:pPr>
      <w:r>
        <w:rPr>
          <w:rFonts w:ascii="Arial" w:cs="Arial" w:eastAsia="Arial" w:hAnsi="Arial"/>
          <w:b/>
          <w:bCs/>
          <w:color w:val="1A2230"/>
        </w:rPr>
        <w:t xml:space="preserve">Check for an associated cause </w:t>
      </w:r>
      <w:r>
        <w:rPr>
          <w:rFonts w:ascii="Arial" w:cs="Arial" w:eastAsia="Arial" w:hAnsi="Arial"/>
        </w:rPr>
        <w:t xml:space="preserve">where the history suggests one (for example, thyroid function).</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Manage it — a stepped approach</w:t>
      </w:r>
    </w:p>
    <w:p>
      <w:pPr>
        <w:spacing w:after="140"/>
      </w:pPr>
      <w:r>
        <w:rPr>
          <w:rFonts w:ascii="Arial" w:cs="Arial" w:eastAsia="Arial" w:hAnsi="Arial"/>
          <w:color w:val="283545"/>
          <w:sz w:val="22"/>
          <w:szCs w:val="22"/>
        </w:rPr>
        <w:t xml:space="preserve">Match the treatment to the severity. Start conservatively in mild cases; escalate if symptoms are severe, persistent, or there are signs of nerve damage.</w:t>
      </w:r>
    </w:p>
    <w:p>
      <w:pPr>
        <w:spacing w:after="60" w:before="60"/>
        <w:jc w:val="center"/>
      </w:pPr>
      <w:r>
        <w:drawing>
          <wp:inline distT="0" distB="0" distL="0" distR="0">
            <wp:extent cx="5715000" cy="2009775"/>
            <wp:effectExtent t="0" r="0" b="0" l="0"/>
            <wp:docPr id="1" name="diagram" descr="Splint, injection, surgery" title="Carpal tunnel stepped c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5715000" cy="2009775"/>
                    </a:xfrm>
                    <a:prstGeom prst="rect">
                      <a:avLst/>
                    </a:prstGeom>
                  </pic:spPr>
                </pic:pic>
              </a:graphicData>
            </a:graphic>
          </wp:inline>
        </w:drawing>
      </w:r>
    </w:p>
    <w:p>
      <w:r>
        <w:br w:type="pag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FOR MILD TO MODERATE SYMPTOMS</w:t>
            </w:r>
          </w:p>
          <w:p>
            <w:pPr>
              <w:spacing w:after="50"/>
            </w:pPr>
            <w:r>
              <w:rPr>
                <w:rFonts w:ascii="Arial" w:cs="Arial" w:eastAsia="Arial" w:hAnsi="Arial"/>
              </w:rPr>
              <w:t xml:space="preserve">• </w:t>
            </w:r>
            <w:r>
              <w:rPr>
                <w:rFonts w:ascii="Arial" w:cs="Arial" w:eastAsia="Arial" w:hAnsi="Arial"/>
                <w:b/>
                <w:bCs/>
                <w:color w:val="1A2230"/>
              </w:rPr>
              <w:t xml:space="preserve">Reassure: </w:t>
            </w:r>
            <w:r>
              <w:rPr>
                <w:rFonts w:ascii="Arial" w:cs="Arial" w:eastAsia="Arial" w:hAnsi="Arial"/>
              </w:rPr>
              <w:t xml:space="preserve">explain that up to a third of cases settle on their own, and pregnancy-related cases usually resolve after delivery.</w:t>
            </w:r>
          </w:p>
          <w:p>
            <w:pPr>
              <w:spacing w:after="50"/>
            </w:pPr>
            <w:r>
              <w:rPr>
                <w:rFonts w:ascii="Arial" w:cs="Arial" w:eastAsia="Arial" w:hAnsi="Arial"/>
              </w:rPr>
              <w:t xml:space="preserve">• </w:t>
            </w:r>
            <w:r>
              <w:rPr>
                <w:rFonts w:ascii="Arial" w:cs="Arial" w:eastAsia="Arial" w:hAnsi="Arial"/>
                <w:b/>
                <w:bCs/>
                <w:color w:val="1A2230"/>
              </w:rPr>
              <w:t xml:space="preserve">Treat any underlying cause.</w:t>
            </w:r>
          </w:p>
          <w:p>
            <w:pPr>
              <w:spacing w:after="50"/>
            </w:pPr>
            <w:r>
              <w:rPr>
                <w:rFonts w:ascii="Arial" w:cs="Arial" w:eastAsia="Arial" w:hAnsi="Arial"/>
              </w:rPr>
              <w:t xml:space="preserve">• </w:t>
            </w:r>
            <w:r>
              <w:rPr>
                <w:rFonts w:ascii="Arial" w:cs="Arial" w:eastAsia="Arial" w:hAnsi="Arial"/>
                <w:b/>
                <w:bCs/>
                <w:color w:val="1A2230"/>
              </w:rPr>
              <w:t xml:space="preserve">Night splint: </w:t>
            </w:r>
            <w:r>
              <w:rPr>
                <w:rFonts w:ascii="Arial" w:cs="Arial" w:eastAsia="Arial" w:hAnsi="Arial"/>
              </w:rPr>
              <w:t xml:space="preserve">a wrist splint worn at night holds the wrist neutral and is a reasonable first step for several weeks.</w:t>
            </w:r>
          </w:p>
          <w:p>
            <w:pPr>
              <w:spacing w:after="0"/>
            </w:pPr>
            <w:r>
              <w:rPr>
                <w:rFonts w:ascii="Arial" w:cs="Arial" w:eastAsia="Arial" w:hAnsi="Arial"/>
              </w:rPr>
              <w:t xml:space="preserve">• </w:t>
            </w:r>
            <w:r>
              <w:rPr>
                <w:rFonts w:ascii="Arial" w:cs="Arial" w:eastAsia="Arial" w:hAnsi="Arial"/>
                <w:b/>
                <w:bCs/>
                <w:color w:val="1A2230"/>
              </w:rPr>
              <w:t xml:space="preserve">Corticosteroid injection </w:t>
            </w:r>
            <w:r>
              <w:rPr>
                <w:rFonts w:ascii="Arial" w:cs="Arial" w:eastAsia="Arial" w:hAnsi="Arial"/>
              </w:rPr>
              <w:t xml:space="preserve">into the carpal tunnel can give useful, if sometimes temporary, relief and may defer or avoid surgery. Check the agent, dose and technique against the BNF and your local guidance — do not work from memory.</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C0392B"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CEBE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9B2620"/>
                <w:spacing w:val="6"/>
                <w:sz w:val="21"/>
                <w:szCs w:val="21"/>
              </w:rPr>
              <w:t xml:space="preserve">REFER URGENTLY — THE NERVE IS AT RISK</w:t>
            </w:r>
          </w:p>
          <w:p>
            <w:pPr>
              <w:spacing w:after="50"/>
            </w:pPr>
            <w:r>
              <w:rPr>
                <w:rFonts w:ascii="Arial" w:cs="Arial" w:eastAsia="Arial" w:hAnsi="Arial"/>
                <w:b/>
                <w:bCs/>
                <w:color w:val="1A2230"/>
              </w:rPr>
              <w:t xml:space="preserve">Refer urgently for surgical assessment (carpal tunnel decompression) if there is:</w:t>
            </w:r>
          </w:p>
          <w:p>
            <w:pPr>
              <w:spacing w:after="50"/>
            </w:pPr>
            <w:r>
              <w:rPr>
                <w:rFonts w:ascii="Arial" w:cs="Arial" w:eastAsia="Arial" w:hAnsi="Arial"/>
              </w:rPr>
              <w:t xml:space="preserve">• CONSTANT (not just intermittent) numbness</w:t>
            </w:r>
          </w:p>
          <w:p>
            <w:pPr>
              <w:spacing w:after="50"/>
            </w:pPr>
            <w:r>
              <w:rPr>
                <w:rFonts w:ascii="Arial" w:cs="Arial" w:eastAsia="Arial" w:hAnsi="Arial"/>
              </w:rPr>
              <w:t xml:space="preserve">• Wasting or weakness of the thenar muscles</w:t>
            </w:r>
          </w:p>
          <w:p>
            <w:pPr>
              <w:spacing w:after="50"/>
            </w:pPr>
            <w:r>
              <w:rPr>
                <w:rFonts w:ascii="Arial" w:cs="Arial" w:eastAsia="Arial" w:hAnsi="Arial"/>
              </w:rPr>
              <w:t xml:space="preserve">• Severe symptoms, or symptoms that fail conservative treatment</w:t>
            </w:r>
          </w:p>
          <w:p>
            <w:pPr>
              <w:spacing w:after="0"/>
            </w:pPr>
            <w:r>
              <w:rPr>
                <w:rFonts w:ascii="Arial" w:cs="Arial" w:eastAsia="Arial" w:hAnsi="Arial"/>
                <w:b/>
                <w:bCs/>
                <w:color w:val="1A2230"/>
              </w:rPr>
              <w:t xml:space="preserve">These signal nerve damage that can become permanent if decompression is delayed.</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ℹ  </w:t>
            </w:r>
            <w:r>
              <w:rPr>
                <w:rFonts w:ascii="Arial" w:cs="Arial" w:eastAsia="Arial" w:hAnsi="Arial"/>
                <w:b/>
                <w:bCs/>
                <w:color w:val="1F4E79"/>
                <w:spacing w:val="6"/>
                <w:sz w:val="21"/>
                <w:szCs w:val="21"/>
              </w:rPr>
              <w:t xml:space="preserve">WHAT SURGERY INVOLVES</w:t>
            </w:r>
          </w:p>
          <w:p>
            <w:pPr>
              <w:spacing w:after="50"/>
            </w:pPr>
            <w:r>
              <w:rPr>
                <w:rFonts w:ascii="Arial" w:cs="Arial" w:eastAsia="Arial" w:hAnsi="Arial"/>
              </w:rPr>
              <w:t xml:space="preserve">Carpal tunnel release divides the transverse carpal ligament to free the nerve. It is a common, effective day-case procedure — the definitive treatment for significant or persistent disease.</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Recognise → Act → Refer</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3249"/>
        <w:gridCol w:w="3249"/>
        <w:gridCol w:w="3248"/>
      </w:tblGrid>
      <w:tr>
        <w:trPr>
          <w:cantSplit/>
          <w:tblHeader/>
        </w:trPr>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Recognise</w:t>
            </w:r>
          </w:p>
        </w:tc>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Act</w:t>
            </w:r>
          </w:p>
        </w:tc>
        <w:tc>
          <w:tcPr>
            <w:tcW w:type="dxa" w:w="3248"/>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Refer</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Intermittent night-time median tingling, no wasting</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Reassure; treat any cause; night splint; consider injection</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Only if not improving</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Symptoms in pregnancy</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Reassure; night splint; expect resolution after delivery</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Rarely needed</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Constant numbness OR thenar wasting / weakness</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Do not delay conservative trials</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URGENT — surgical assessment for decompression</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Atypical or uncertain picture</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Consider nerve conduction studies</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Specialist opinion if diagnosis unclear</w:t>
            </w:r>
          </w:p>
        </w:tc>
      </w:tr>
    </w:tbl>
    <w:p>
      <w:pPr>
        <w:spacing w:after="10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CKS — Carpal tunnel syndrome (diagnosis, conservative care, referral).</w:t>
            </w:r>
          </w:p>
          <w:p>
            <w:pPr>
              <w:pStyle w:val="ListParagraph"/>
              <w:numPr>
                <w:ilvl w:val="0"/>
                <w:numId w:val="2"/>
              </w:numPr>
              <w:spacing w:after="30"/>
            </w:pPr>
            <w:r>
              <w:rPr>
                <w:rFonts w:ascii="Arial" w:cs="Arial" w:eastAsia="Arial" w:hAnsi="Arial"/>
                <w:color w:val="283545"/>
                <w:sz w:val="18"/>
                <w:szCs w:val="18"/>
              </w:rPr>
              <w:t xml:space="preserve">BNF — for any corticosteroid injection agent, dose and technique.</w:t>
            </w:r>
          </w:p>
          <w:p>
            <w:pPr>
              <w:pStyle w:val="ListParagraph"/>
              <w:numPr>
                <w:ilvl w:val="0"/>
                <w:numId w:val="2"/>
              </w:numPr>
              <w:spacing w:after="30"/>
            </w:pPr>
            <w:r>
              <w:rPr>
                <w:rFonts w:ascii="Arial" w:cs="Arial" w:eastAsia="Arial" w:hAnsi="Arial"/>
                <w:color w:val="283545"/>
                <w:sz w:val="18"/>
                <w:szCs w:val="18"/>
              </w:rPr>
              <w:t xml:space="preserve">Refer to local hand-surgery / orthopaedic and physiotherapy pathways.</w:t>
            </w:r>
          </w:p>
        </w:tc>
      </w:tr>
    </w:tbl>
    <w:p>
      <w:pPr>
        <w:spacing w:after="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Carpal Tunnel Syndrome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177a238b0ff92490366f6ce3b4666c93ef77a20f.png"/><Relationship Id="rId9" Type="http://schemas.openxmlformats.org/officeDocument/2006/relationships/image" Target="media/a2e9eb559f2fbd9135fd7a97d1b077bb5b7b8f25.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2026-06-19T16:29:36.766Z</dcterms:created>
  <dcterms:modified xsi:type="dcterms:W3CDTF">2026-06-19T16:29:36.766Z</dcterms:modified>
</cp:coreProperties>
</file>

<file path=docProps/custom.xml><?xml version="1.0" encoding="utf-8"?>
<Properties xmlns="http://schemas.openxmlformats.org/officeDocument/2006/custom-properties" xmlns:vt="http://schemas.openxmlformats.org/officeDocument/2006/docPropsVTypes"/>
</file>