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9606"/>
      </w:tblGrid>
      <w:tr w:rsidR="00D438A7" w14:paraId="204DF09A" w14:textId="77777777" w:rsidTr="00F16219">
        <w:tc>
          <w:tcPr>
            <w:tcW w:w="9606" w:type="dxa"/>
            <w:shd w:val="clear" w:color="auto" w:fill="E0651F"/>
          </w:tcPr>
          <w:p w14:paraId="3CB8DE44" w14:textId="77777777" w:rsidR="00D438A7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b/>
                <w:color w:val="FFFFFF"/>
              </w:rPr>
              <w:t>BRADFORD VTS TEACHING AIDS</w:t>
            </w:r>
          </w:p>
          <w:p w14:paraId="1B33A89A" w14:textId="77777777" w:rsidR="00D438A7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b/>
                <w:color w:val="FFFFFF"/>
                <w:sz w:val="56"/>
              </w:rPr>
              <w:t>Hypermobility Syndrome</w:t>
            </w:r>
          </w:p>
          <w:p w14:paraId="27D7E3E1" w14:textId="77777777" w:rsidR="00D438A7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i/>
                <w:color w:val="FFFFFF"/>
                <w:sz w:val="24"/>
              </w:rPr>
              <w:t>An Assessment &amp; Clinical Guide · Bradford VTS · June 2026</w:t>
            </w:r>
          </w:p>
        </w:tc>
      </w:tr>
    </w:tbl>
    <w:p w14:paraId="691410D2" w14:textId="77777777" w:rsidR="00D438A7" w:rsidRDefault="00D438A7"/>
    <w:p w14:paraId="41D63011" w14:textId="77777777" w:rsidR="00D438A7" w:rsidRDefault="00000000">
      <w:pPr>
        <w:spacing w:after="80"/>
      </w:pPr>
      <w:r>
        <w:rPr>
          <w:rFonts w:ascii="Calibri" w:hAnsi="Calibri"/>
          <w:sz w:val="21"/>
        </w:rPr>
        <w:t>Hypermobility Syndrome (HMS), now more formally termed Hypermobile Ehlers-Danlos Syndrome (hEDS) or Hypermobility Spectrum Disorder (HSD), is a common but frequently under-recognised condition in primary care. It is a risk factor for fibromyalgia and can co-exist with it.</w:t>
      </w:r>
    </w:p>
    <w:p w14:paraId="50FEC59B" w14:textId="77777777" w:rsidR="00D438A7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t>📋 Clinical Features</w:t>
      </w:r>
    </w:p>
    <w:p w14:paraId="58EFA572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Widespread joint pain — typically worse with activity, better with rest</w:t>
      </w:r>
    </w:p>
    <w:p w14:paraId="7CAAF3F5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Joint instability, easy subluxations and dislocations (shoulders, fingers, knees, ankles)</w:t>
      </w:r>
    </w:p>
    <w:p w14:paraId="455DED46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Fatigue — often severe and disproportionate to apparent pathology</w:t>
      </w:r>
    </w:p>
    <w:p w14:paraId="3F64663B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Soft-tissue injuries (sprains, tendinopathies) — "clumsy" patients</w:t>
      </w:r>
    </w:p>
    <w:p w14:paraId="09B2AA12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Skin features in hEDS: velvety/hyperextensible skin, abnormal wound healing</w:t>
      </w:r>
    </w:p>
    <w:p w14:paraId="263336B4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Autonomic features: POTS (postural tachycardia), orthostatic hypotension, dizziness</w:t>
      </w:r>
    </w:p>
    <w:p w14:paraId="15C659C8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GI symptoms: bloating, nausea, IBS-type symptoms</w:t>
      </w:r>
    </w:p>
    <w:p w14:paraId="756EFE95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Co-morbidities: anxiety, depression, chronic pain, fibromyalgia</w:t>
      </w:r>
    </w:p>
    <w:p w14:paraId="3E298B6C" w14:textId="77777777" w:rsidR="00D438A7" w:rsidRDefault="00000000">
      <w:pPr>
        <w:spacing w:before="200" w:after="80"/>
      </w:pPr>
      <w:r>
        <w:rPr>
          <w:rFonts w:ascii="Calibri" w:hAnsi="Calibri"/>
          <w:b/>
          <w:color w:val="16213E"/>
          <w:sz w:val="28"/>
        </w:rPr>
        <w:t>📏 The Beighton Score for Hypermobility</w:t>
      </w:r>
    </w:p>
    <w:p w14:paraId="5AD67A49" w14:textId="77777777" w:rsidR="00D438A7" w:rsidRDefault="00000000">
      <w:pPr>
        <w:spacing w:after="80"/>
      </w:pPr>
      <w:r>
        <w:rPr>
          <w:rFonts w:ascii="Calibri" w:hAnsi="Calibri"/>
          <w:sz w:val="21"/>
        </w:rPr>
        <w:t>The Beighton score (Beighton's modification of the Carter and Wilkinson scoring system) is the standard assessment tool. Maximum score = 9 points. Scored 1 for each side where applicable.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35"/>
        <w:gridCol w:w="3135"/>
        <w:gridCol w:w="3135"/>
      </w:tblGrid>
      <w:tr w:rsidR="00D438A7" w14:paraId="2A811F30" w14:textId="77777777">
        <w:trPr>
          <w:jc w:val="center"/>
        </w:trPr>
        <w:tc>
          <w:tcPr>
            <w:tcW w:w="3135" w:type="dxa"/>
            <w:shd w:val="clear" w:color="auto" w:fill="16213E"/>
          </w:tcPr>
          <w:p w14:paraId="711E2A5E" w14:textId="77777777" w:rsidR="00D438A7" w:rsidRDefault="00000000">
            <w:r>
              <w:rPr>
                <w:rFonts w:ascii="Calibri" w:hAnsi="Calibri"/>
                <w:b/>
                <w:color w:val="FFFFFF"/>
                <w:sz w:val="20"/>
              </w:rPr>
              <w:t>#</w:t>
            </w:r>
          </w:p>
        </w:tc>
        <w:tc>
          <w:tcPr>
            <w:tcW w:w="3135" w:type="dxa"/>
            <w:shd w:val="clear" w:color="auto" w:fill="16213E"/>
          </w:tcPr>
          <w:p w14:paraId="2D4C4EE9" w14:textId="77777777" w:rsidR="00D438A7" w:rsidRDefault="00000000">
            <w:r>
              <w:rPr>
                <w:rFonts w:ascii="Calibri" w:hAnsi="Calibri"/>
                <w:b/>
                <w:color w:val="FFFFFF"/>
                <w:sz w:val="20"/>
              </w:rPr>
              <w:t>Manoeuvre</w:t>
            </w:r>
          </w:p>
        </w:tc>
        <w:tc>
          <w:tcPr>
            <w:tcW w:w="3135" w:type="dxa"/>
            <w:shd w:val="clear" w:color="auto" w:fill="16213E"/>
          </w:tcPr>
          <w:p w14:paraId="637C16BC" w14:textId="77777777" w:rsidR="00D438A7" w:rsidRDefault="00000000">
            <w:r>
              <w:rPr>
                <w:rFonts w:ascii="Calibri" w:hAnsi="Calibri"/>
                <w:b/>
                <w:color w:val="FFFFFF"/>
                <w:sz w:val="20"/>
              </w:rPr>
              <w:t>Score (each side)</w:t>
            </w:r>
          </w:p>
        </w:tc>
      </w:tr>
      <w:tr w:rsidR="00D438A7" w14:paraId="7302787A" w14:textId="77777777">
        <w:trPr>
          <w:jc w:val="center"/>
        </w:trPr>
        <w:tc>
          <w:tcPr>
            <w:tcW w:w="3135" w:type="dxa"/>
          </w:tcPr>
          <w:p w14:paraId="369635B3" w14:textId="77777777" w:rsidR="00D438A7" w:rsidRDefault="00000000">
            <w:r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3135" w:type="dxa"/>
          </w:tcPr>
          <w:p w14:paraId="3B96F5E2" w14:textId="77777777" w:rsidR="00D438A7" w:rsidRDefault="00000000">
            <w:r>
              <w:rPr>
                <w:rFonts w:ascii="Calibri" w:hAnsi="Calibri"/>
                <w:sz w:val="20"/>
              </w:rPr>
              <w:t>Palms flat on floor with knees straight</w:t>
            </w:r>
          </w:p>
        </w:tc>
        <w:tc>
          <w:tcPr>
            <w:tcW w:w="3135" w:type="dxa"/>
          </w:tcPr>
          <w:p w14:paraId="2963C17C" w14:textId="77777777" w:rsidR="00D438A7" w:rsidRDefault="00000000">
            <w:r>
              <w:rPr>
                <w:rFonts w:ascii="Calibri" w:hAnsi="Calibri"/>
                <w:sz w:val="20"/>
              </w:rPr>
              <w:t>1 point</w:t>
            </w:r>
          </w:p>
        </w:tc>
      </w:tr>
      <w:tr w:rsidR="00D438A7" w14:paraId="7B1D5D57" w14:textId="77777777">
        <w:trPr>
          <w:jc w:val="center"/>
        </w:trPr>
        <w:tc>
          <w:tcPr>
            <w:tcW w:w="3135" w:type="dxa"/>
          </w:tcPr>
          <w:p w14:paraId="40D4D6A2" w14:textId="77777777" w:rsidR="00D438A7" w:rsidRDefault="00000000">
            <w:r>
              <w:rPr>
                <w:rFonts w:ascii="Calibri" w:hAnsi="Calibri"/>
                <w:sz w:val="20"/>
              </w:rPr>
              <w:t>2</w:t>
            </w:r>
          </w:p>
        </w:tc>
        <w:tc>
          <w:tcPr>
            <w:tcW w:w="3135" w:type="dxa"/>
          </w:tcPr>
          <w:p w14:paraId="403AD77F" w14:textId="77777777" w:rsidR="00D438A7" w:rsidRDefault="00000000">
            <w:r>
              <w:rPr>
                <w:rFonts w:ascii="Calibri" w:hAnsi="Calibri"/>
                <w:sz w:val="20"/>
              </w:rPr>
              <w:t>Elbow hyperextension (bend elbow backwards)</w:t>
            </w:r>
          </w:p>
        </w:tc>
        <w:tc>
          <w:tcPr>
            <w:tcW w:w="3135" w:type="dxa"/>
          </w:tcPr>
          <w:p w14:paraId="2C6A0A64" w14:textId="77777777" w:rsidR="00D438A7" w:rsidRDefault="00000000">
            <w:r>
              <w:rPr>
                <w:rFonts w:ascii="Calibri" w:hAnsi="Calibri"/>
                <w:sz w:val="20"/>
              </w:rPr>
              <w:t>1 per side (max 2)</w:t>
            </w:r>
          </w:p>
        </w:tc>
      </w:tr>
      <w:tr w:rsidR="00D438A7" w14:paraId="5CAF88B4" w14:textId="77777777">
        <w:trPr>
          <w:jc w:val="center"/>
        </w:trPr>
        <w:tc>
          <w:tcPr>
            <w:tcW w:w="3135" w:type="dxa"/>
          </w:tcPr>
          <w:p w14:paraId="3092C998" w14:textId="77777777" w:rsidR="00D438A7" w:rsidRDefault="00000000">
            <w:r>
              <w:rPr>
                <w:rFonts w:ascii="Calibri" w:hAnsi="Calibri"/>
                <w:sz w:val="20"/>
              </w:rPr>
              <w:t>3</w:t>
            </w:r>
          </w:p>
        </w:tc>
        <w:tc>
          <w:tcPr>
            <w:tcW w:w="3135" w:type="dxa"/>
          </w:tcPr>
          <w:p w14:paraId="0A4C90C8" w14:textId="77777777" w:rsidR="00D438A7" w:rsidRDefault="00000000">
            <w:r>
              <w:rPr>
                <w:rFonts w:ascii="Calibri" w:hAnsi="Calibri"/>
                <w:sz w:val="20"/>
              </w:rPr>
              <w:t>Knee hyperextension (bend knee backwards)</w:t>
            </w:r>
          </w:p>
        </w:tc>
        <w:tc>
          <w:tcPr>
            <w:tcW w:w="3135" w:type="dxa"/>
          </w:tcPr>
          <w:p w14:paraId="365B03DA" w14:textId="77777777" w:rsidR="00D438A7" w:rsidRDefault="00000000">
            <w:r>
              <w:rPr>
                <w:rFonts w:ascii="Calibri" w:hAnsi="Calibri"/>
                <w:sz w:val="20"/>
              </w:rPr>
              <w:t>1 per side (max 2)</w:t>
            </w:r>
          </w:p>
        </w:tc>
      </w:tr>
      <w:tr w:rsidR="00D438A7" w14:paraId="230143D9" w14:textId="77777777">
        <w:trPr>
          <w:jc w:val="center"/>
        </w:trPr>
        <w:tc>
          <w:tcPr>
            <w:tcW w:w="3135" w:type="dxa"/>
          </w:tcPr>
          <w:p w14:paraId="551C384E" w14:textId="77777777" w:rsidR="00D438A7" w:rsidRDefault="00000000">
            <w:r>
              <w:rPr>
                <w:rFonts w:ascii="Calibri" w:hAnsi="Calibri"/>
                <w:sz w:val="20"/>
              </w:rPr>
              <w:t>4</w:t>
            </w:r>
          </w:p>
        </w:tc>
        <w:tc>
          <w:tcPr>
            <w:tcW w:w="3135" w:type="dxa"/>
          </w:tcPr>
          <w:p w14:paraId="36A8FD26" w14:textId="77777777" w:rsidR="00D438A7" w:rsidRDefault="00000000">
            <w:r>
              <w:rPr>
                <w:rFonts w:ascii="Calibri" w:hAnsi="Calibri"/>
                <w:sz w:val="20"/>
              </w:rPr>
              <w:t>Thumb to forearm (bend thumb back onto front of forearm)</w:t>
            </w:r>
          </w:p>
        </w:tc>
        <w:tc>
          <w:tcPr>
            <w:tcW w:w="3135" w:type="dxa"/>
          </w:tcPr>
          <w:p w14:paraId="0C047B77" w14:textId="77777777" w:rsidR="00D438A7" w:rsidRDefault="00000000">
            <w:r>
              <w:rPr>
                <w:rFonts w:ascii="Calibri" w:hAnsi="Calibri"/>
                <w:sz w:val="20"/>
              </w:rPr>
              <w:t>1 per side (max 2)</w:t>
            </w:r>
          </w:p>
        </w:tc>
      </w:tr>
      <w:tr w:rsidR="00D438A7" w14:paraId="2CA4FD40" w14:textId="77777777">
        <w:trPr>
          <w:jc w:val="center"/>
        </w:trPr>
        <w:tc>
          <w:tcPr>
            <w:tcW w:w="3135" w:type="dxa"/>
          </w:tcPr>
          <w:p w14:paraId="0294977B" w14:textId="77777777" w:rsidR="00D438A7" w:rsidRDefault="00000000">
            <w:r>
              <w:rPr>
                <w:rFonts w:ascii="Calibri" w:hAnsi="Calibri"/>
                <w:sz w:val="20"/>
              </w:rPr>
              <w:t>5</w:t>
            </w:r>
          </w:p>
        </w:tc>
        <w:tc>
          <w:tcPr>
            <w:tcW w:w="3135" w:type="dxa"/>
          </w:tcPr>
          <w:p w14:paraId="1983ED47" w14:textId="77777777" w:rsidR="00D438A7" w:rsidRDefault="00000000">
            <w:r>
              <w:rPr>
                <w:rFonts w:ascii="Calibri" w:hAnsi="Calibri"/>
                <w:sz w:val="20"/>
              </w:rPr>
              <w:t>Little finger to 90° (bend little finger back to right angles)</w:t>
            </w:r>
          </w:p>
        </w:tc>
        <w:tc>
          <w:tcPr>
            <w:tcW w:w="3135" w:type="dxa"/>
          </w:tcPr>
          <w:p w14:paraId="75327AFC" w14:textId="77777777" w:rsidR="00D438A7" w:rsidRDefault="00000000">
            <w:r>
              <w:rPr>
                <w:rFonts w:ascii="Calibri" w:hAnsi="Calibri"/>
                <w:sz w:val="20"/>
              </w:rPr>
              <w:t>1 per side (max 2)</w:t>
            </w:r>
          </w:p>
        </w:tc>
      </w:tr>
      <w:tr w:rsidR="00D438A7" w14:paraId="1F6836CA" w14:textId="77777777">
        <w:trPr>
          <w:jc w:val="center"/>
        </w:trPr>
        <w:tc>
          <w:tcPr>
            <w:tcW w:w="3135" w:type="dxa"/>
          </w:tcPr>
          <w:p w14:paraId="509442B6" w14:textId="77777777" w:rsidR="00D438A7" w:rsidRDefault="00D438A7"/>
        </w:tc>
        <w:tc>
          <w:tcPr>
            <w:tcW w:w="3135" w:type="dxa"/>
          </w:tcPr>
          <w:p w14:paraId="62D01E60" w14:textId="77777777" w:rsidR="00D438A7" w:rsidRDefault="00000000">
            <w:r>
              <w:rPr>
                <w:rFonts w:ascii="Calibri" w:hAnsi="Calibri"/>
                <w:sz w:val="20"/>
              </w:rPr>
              <w:t>TOTAL</w:t>
            </w:r>
          </w:p>
        </w:tc>
        <w:tc>
          <w:tcPr>
            <w:tcW w:w="3135" w:type="dxa"/>
          </w:tcPr>
          <w:p w14:paraId="652A360B" w14:textId="77777777" w:rsidR="00D438A7" w:rsidRDefault="00000000">
            <w:r>
              <w:rPr>
                <w:rFonts w:ascii="Calibri" w:hAnsi="Calibri"/>
                <w:sz w:val="20"/>
              </w:rPr>
              <w:t>Max 9</w:t>
            </w:r>
          </w:p>
        </w:tc>
      </w:tr>
    </w:tbl>
    <w:p w14:paraId="7C0AA158" w14:textId="77777777" w:rsidR="00D438A7" w:rsidRDefault="00D438A7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D438A7" w14:paraId="342B5474" w14:textId="77777777">
        <w:tc>
          <w:tcPr>
            <w:tcW w:w="9406" w:type="dxa"/>
            <w:shd w:val="clear" w:color="auto" w:fill="D4EDDA"/>
          </w:tcPr>
          <w:p w14:paraId="3EDCB57D" w14:textId="77777777" w:rsidR="00D438A7" w:rsidRDefault="00000000">
            <w:pPr>
              <w:spacing w:before="80" w:after="80"/>
            </w:pPr>
            <w:r>
              <w:rPr>
                <w:rFonts w:ascii="Calibri" w:hAnsi="Calibri"/>
                <w:sz w:val="20"/>
              </w:rPr>
              <w:t>🔑 DIAGNOSIS: Beighton score ≥4/9 AND joint pain for longer than 3 months in 4 or more joints = Hypermobility Syndrome (Brighton Criteria for HMS). Note: a score of ≥5/9 is used for children (pre-puberty). Beighton score alone is NOT sufficient — pain and functional impairment must also be present.</w:t>
            </w:r>
          </w:p>
        </w:tc>
      </w:tr>
    </w:tbl>
    <w:p w14:paraId="7D53AA06" w14:textId="77777777" w:rsidR="00D438A7" w:rsidRDefault="00D438A7"/>
    <w:p w14:paraId="0782EC70" w14:textId="77777777" w:rsidR="00F16219" w:rsidRDefault="00F16219">
      <w:pPr>
        <w:rPr>
          <w:rFonts w:ascii="Calibri" w:hAnsi="Calibri"/>
          <w:b/>
          <w:color w:val="1A1A2E"/>
          <w:sz w:val="28"/>
        </w:rPr>
      </w:pPr>
      <w:r>
        <w:rPr>
          <w:rFonts w:ascii="Calibri" w:hAnsi="Calibri"/>
          <w:b/>
          <w:color w:val="1A1A2E"/>
          <w:sz w:val="28"/>
        </w:rPr>
        <w:br w:type="page"/>
      </w:r>
    </w:p>
    <w:p w14:paraId="0DAE97C0" w14:textId="6B466AFA" w:rsidR="00D438A7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lastRenderedPageBreak/>
        <w:t>⚙️ Brighton Criteria for Hypermobility Syndrome (1998)</w:t>
      </w:r>
    </w:p>
    <w:p w14:paraId="7E00660E" w14:textId="77777777" w:rsidR="00D438A7" w:rsidRDefault="00000000">
      <w:pPr>
        <w:spacing w:after="80"/>
      </w:pPr>
      <w:r>
        <w:rPr>
          <w:rFonts w:ascii="Calibri" w:hAnsi="Calibri"/>
          <w:sz w:val="21"/>
        </w:rPr>
        <w:t>Diagnosis requires: 2 major criteria OR 1 major + 2 minor criteria OR 4 minor criteria.</w:t>
      </w:r>
    </w:p>
    <w:p w14:paraId="705827F6" w14:textId="77777777" w:rsidR="00D438A7" w:rsidRDefault="00000000">
      <w:pPr>
        <w:spacing w:before="200" w:after="80"/>
      </w:pPr>
      <w:r>
        <w:rPr>
          <w:rFonts w:ascii="Calibri" w:hAnsi="Calibri"/>
          <w:b/>
          <w:color w:val="0F3D5E"/>
          <w:sz w:val="28"/>
        </w:rPr>
        <w:t>Major Criteria</w:t>
      </w:r>
    </w:p>
    <w:p w14:paraId="0101F265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Beighton score ≥4/9 (currently OR historically)</w:t>
      </w:r>
    </w:p>
    <w:p w14:paraId="42BCC111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Arthralgia for &gt;3 months in 4 or more joints</w:t>
      </w:r>
    </w:p>
    <w:p w14:paraId="5E4781BE" w14:textId="77777777" w:rsidR="00D438A7" w:rsidRDefault="00000000">
      <w:pPr>
        <w:spacing w:before="200" w:after="80"/>
      </w:pPr>
      <w:r>
        <w:rPr>
          <w:rFonts w:ascii="Calibri" w:hAnsi="Calibri"/>
          <w:b/>
          <w:color w:val="0F3D5E"/>
          <w:sz w:val="28"/>
        </w:rPr>
        <w:t>Minor Criteria</w:t>
      </w:r>
    </w:p>
    <w:p w14:paraId="78492FC9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Beighton score 1–3/9</w:t>
      </w:r>
    </w:p>
    <w:p w14:paraId="2ABB2317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Arthralgia in 1–3 joints, or back pain, or spondylosis/spondylolysis</w:t>
      </w:r>
    </w:p>
    <w:p w14:paraId="683DE093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Dislocation/subluxation in &gt;1 joint or in 1 joint on more than one occasion</w:t>
      </w:r>
    </w:p>
    <w:p w14:paraId="28DD6296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Soft tissue rheumatism: ≥3 lesions (epicondylitis, tenosynovitis, bursitis)</w:t>
      </w:r>
    </w:p>
    <w:p w14:paraId="501BDFA5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Marfanoid habitus: arm span &gt;height; upper:lower segment ratio &lt;0.89</w:t>
      </w:r>
    </w:p>
    <w:p w14:paraId="585F9DE6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Skin changes: striae, hyperextensibility, thin skin, papyraceous scarring</w:t>
      </w:r>
    </w:p>
    <w:p w14:paraId="67395C0A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Eye signs: drooping eyelids, myopia, or antimongoloid slant</w:t>
      </w:r>
    </w:p>
    <w:p w14:paraId="1E8CE385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Varicose veins, hernia, or uterine/rectal prolapse</w:t>
      </w:r>
    </w:p>
    <w:p w14:paraId="1E0130C6" w14:textId="77777777" w:rsidR="00D438A7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t>🏥 Management in Primary Care</w:t>
      </w:r>
    </w:p>
    <w:p w14:paraId="2EB8CC09" w14:textId="77777777" w:rsidR="00D438A7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Physiotherapy </w:t>
      </w:r>
      <w:r>
        <w:rPr>
          <w:rFonts w:ascii="Calibri" w:hAnsi="Calibri"/>
          <w:sz w:val="21"/>
        </w:rPr>
        <w:t>Core stability exercises, proprioception training, muscle strengthening — reduces joint instability and pain.</w:t>
      </w:r>
    </w:p>
    <w:p w14:paraId="02784047" w14:textId="77777777" w:rsidR="00D438A7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Analgesia </w:t>
      </w:r>
      <w:r>
        <w:rPr>
          <w:rFonts w:ascii="Calibri" w:hAnsi="Calibri"/>
          <w:sz w:val="21"/>
        </w:rPr>
        <w:t>Paracetamol or NSAIDs (short-term, with PPI if indicated); avoid opioids for chronic pain.</w:t>
      </w:r>
    </w:p>
    <w:p w14:paraId="5A469073" w14:textId="77777777" w:rsidR="00D438A7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Orthotics/supports </w:t>
      </w:r>
      <w:r>
        <w:rPr>
          <w:rFonts w:ascii="Calibri" w:hAnsi="Calibri"/>
          <w:sz w:val="21"/>
        </w:rPr>
        <w:t>Insoles, wrist splints, bracing for unstable joints — OT referral.</w:t>
      </w:r>
    </w:p>
    <w:p w14:paraId="60206F82" w14:textId="77777777" w:rsidR="00D438A7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Pacing </w:t>
      </w:r>
      <w:r>
        <w:rPr>
          <w:rFonts w:ascii="Calibri" w:hAnsi="Calibri"/>
          <w:sz w:val="21"/>
        </w:rPr>
        <w:t>Avoid boom-and-bust activity; graduated exercise; pain diary.</w:t>
      </w:r>
    </w:p>
    <w:p w14:paraId="5762B600" w14:textId="77777777" w:rsidR="00D438A7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Mental health </w:t>
      </w:r>
      <w:r>
        <w:rPr>
          <w:rFonts w:ascii="Calibri" w:hAnsi="Calibri"/>
          <w:sz w:val="21"/>
        </w:rPr>
        <w:t>Screen for anxiety and depression (PHQ-9, GAD-7); CBT for chronic pain; IAPT referral.</w:t>
      </w:r>
    </w:p>
    <w:p w14:paraId="00ED0DCC" w14:textId="77777777" w:rsidR="00D438A7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Autonomic symptoms </w:t>
      </w:r>
      <w:r>
        <w:rPr>
          <w:rFonts w:ascii="Calibri" w:hAnsi="Calibri"/>
          <w:sz w:val="21"/>
        </w:rPr>
        <w:t>If POTS suspected: increase fluid/salt intake; compression stockings; refer to cardiology/neurology.</w:t>
      </w:r>
    </w:p>
    <w:p w14:paraId="2136FEE3" w14:textId="77777777" w:rsidR="00D438A7" w:rsidRPr="00F16219" w:rsidRDefault="00000000">
      <w:pPr>
        <w:pStyle w:val="ListBullet"/>
        <w:rPr>
          <w:lang w:val="fr-FR"/>
        </w:rPr>
      </w:pPr>
      <w:r w:rsidRPr="00F16219">
        <w:rPr>
          <w:rFonts w:ascii="Calibri" w:hAnsi="Calibri"/>
          <w:b/>
          <w:sz w:val="21"/>
          <w:lang w:val="fr-FR"/>
        </w:rPr>
        <w:t xml:space="preserve">Patient </w:t>
      </w:r>
      <w:proofErr w:type="spellStart"/>
      <w:r w:rsidRPr="00F16219">
        <w:rPr>
          <w:rFonts w:ascii="Calibri" w:hAnsi="Calibri"/>
          <w:b/>
          <w:sz w:val="21"/>
          <w:lang w:val="fr-FR"/>
        </w:rPr>
        <w:t>resources</w:t>
      </w:r>
      <w:proofErr w:type="spellEnd"/>
      <w:r w:rsidRPr="00F16219">
        <w:rPr>
          <w:rFonts w:ascii="Calibri" w:hAnsi="Calibri"/>
          <w:b/>
          <w:sz w:val="21"/>
          <w:lang w:val="fr-FR"/>
        </w:rPr>
        <w:t xml:space="preserve"> </w:t>
      </w:r>
      <w:proofErr w:type="spellStart"/>
      <w:r w:rsidRPr="00F16219">
        <w:rPr>
          <w:rFonts w:ascii="Calibri" w:hAnsi="Calibri"/>
          <w:sz w:val="21"/>
          <w:lang w:val="fr-FR"/>
        </w:rPr>
        <w:t>Hypermobility</w:t>
      </w:r>
      <w:proofErr w:type="spellEnd"/>
      <w:r w:rsidRPr="00F16219">
        <w:rPr>
          <w:rFonts w:ascii="Calibri" w:hAnsi="Calibri"/>
          <w:sz w:val="21"/>
          <w:lang w:val="fr-FR"/>
        </w:rPr>
        <w:t xml:space="preserve"> Syndromes Association (HMSA</w:t>
      </w:r>
      <w:proofErr w:type="gramStart"/>
      <w:r w:rsidRPr="00F16219">
        <w:rPr>
          <w:rFonts w:ascii="Calibri" w:hAnsi="Calibri"/>
          <w:sz w:val="21"/>
          <w:lang w:val="fr-FR"/>
        </w:rPr>
        <w:t>):</w:t>
      </w:r>
      <w:proofErr w:type="gramEnd"/>
      <w:r w:rsidRPr="00F16219">
        <w:rPr>
          <w:rFonts w:ascii="Calibri" w:hAnsi="Calibri"/>
          <w:sz w:val="21"/>
          <w:lang w:val="fr-FR"/>
        </w:rPr>
        <w:t xml:space="preserve"> www.hypermobility.org</w:t>
      </w:r>
    </w:p>
    <w:p w14:paraId="55DD11A6" w14:textId="77777777" w:rsidR="00D438A7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t>📤 When to Refer</w:t>
      </w:r>
    </w:p>
    <w:p w14:paraId="1CFAE1B7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Diagnostic uncertainty about hEDS vs other heritable connective tissue disorders (Marfan syndrome, classical EDS)</w:t>
      </w:r>
    </w:p>
    <w:p w14:paraId="5FB1E186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Severe or rapidly progressive symptoms affecting function</w:t>
      </w:r>
    </w:p>
    <w:p w14:paraId="4625CCC9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Suspected cardiovascular complications (POTS, aortic dilatation in Marfan)</w:t>
      </w:r>
    </w:p>
    <w:p w14:paraId="332E2592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Physiotherapy-resistant pain or instability</w:t>
      </w:r>
    </w:p>
    <w:p w14:paraId="0C6410C2" w14:textId="77777777" w:rsidR="00D438A7" w:rsidRDefault="00000000">
      <w:pPr>
        <w:pStyle w:val="ListBullet"/>
      </w:pPr>
      <w:r>
        <w:rPr>
          <w:rFonts w:ascii="Calibri" w:hAnsi="Calibri"/>
          <w:sz w:val="21"/>
        </w:rPr>
        <w:t>Co-existing fibromyalgia — chronic pain clinic / multidisciplinary pain team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D438A7" w14:paraId="372D611D" w14:textId="77777777">
        <w:tc>
          <w:tcPr>
            <w:tcW w:w="9406" w:type="dxa"/>
            <w:shd w:val="clear" w:color="auto" w:fill="FFF3CD"/>
          </w:tcPr>
          <w:p w14:paraId="75E39739" w14:textId="77777777" w:rsidR="00D438A7" w:rsidRDefault="00000000">
            <w:pPr>
              <w:spacing w:before="80" w:after="80"/>
            </w:pPr>
            <w:r>
              <w:rPr>
                <w:rFonts w:ascii="Calibri" w:hAnsi="Calibri"/>
                <w:sz w:val="20"/>
              </w:rPr>
              <w:t>⚠️  Note: Hypermobility is a risk factor for fibromyalgia — the two conditions frequently co-exist. If the patient scores ≥4 on Beighton AND has widespread pain with central sensitisation features, assess for fibromyalgia using the WPI + SS diagnostic criteria (ACR 2010/2016).</w:t>
            </w:r>
          </w:p>
        </w:tc>
      </w:tr>
    </w:tbl>
    <w:p w14:paraId="30F5FCAF" w14:textId="77777777" w:rsidR="00D438A7" w:rsidRPr="00F16219" w:rsidRDefault="00D438A7">
      <w:pPr>
        <w:rPr>
          <w:sz w:val="2"/>
          <w:szCs w:val="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D438A7" w:rsidRPr="00F16219" w14:paraId="551BB982" w14:textId="77777777">
        <w:tc>
          <w:tcPr>
            <w:tcW w:w="9406" w:type="dxa"/>
            <w:shd w:val="clear" w:color="auto" w:fill="FFF3CD"/>
          </w:tcPr>
          <w:p w14:paraId="67EB9E10" w14:textId="77777777" w:rsidR="00D438A7" w:rsidRPr="00F16219" w:rsidRDefault="00000000">
            <w:pPr>
              <w:spacing w:before="80" w:after="80"/>
              <w:rPr>
                <w:sz w:val="18"/>
                <w:szCs w:val="20"/>
              </w:rPr>
            </w:pPr>
            <w:proofErr w:type="gramStart"/>
            <w:r w:rsidRPr="00F16219">
              <w:rPr>
                <w:rFonts w:ascii="Calibri" w:hAnsi="Calibri"/>
                <w:sz w:val="18"/>
                <w:szCs w:val="20"/>
              </w:rPr>
              <w:t>⚠  Always</w:t>
            </w:r>
            <w:proofErr w:type="gramEnd"/>
            <w:r w:rsidRPr="00F16219">
              <w:rPr>
                <w:rFonts w:ascii="Calibri" w:hAnsi="Calibri"/>
                <w:sz w:val="18"/>
                <w:szCs w:val="20"/>
              </w:rPr>
              <w:t xml:space="preserve"> double check this advice and drug doses with the latest NICE/BNF guidance. This document is for educational purposes only.</w:t>
            </w:r>
          </w:p>
        </w:tc>
      </w:tr>
    </w:tbl>
    <w:p w14:paraId="23A88712" w14:textId="77777777" w:rsidR="00D438A7" w:rsidRDefault="00D438A7"/>
    <w:sectPr w:rsidR="00D438A7" w:rsidSect="00034616">
      <w:footerReference w:type="default" r:id="rId8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6D1B5" w14:textId="77777777" w:rsidR="00A81FA3" w:rsidRDefault="00A81FA3">
      <w:pPr>
        <w:spacing w:after="0" w:line="240" w:lineRule="auto"/>
      </w:pPr>
      <w:r>
        <w:separator/>
      </w:r>
    </w:p>
  </w:endnote>
  <w:endnote w:type="continuationSeparator" w:id="0">
    <w:p w14:paraId="124F27EE" w14:textId="77777777" w:rsidR="00A81FA3" w:rsidRDefault="00A81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076C3" w14:textId="77777777" w:rsidR="00D438A7" w:rsidRDefault="00000000">
    <w:pPr>
      <w:pStyle w:val="Footer"/>
      <w:jc w:val="center"/>
    </w:pPr>
    <w:r>
      <w:rPr>
        <w:color w:val="888888"/>
        <w:sz w:val="16"/>
      </w:rPr>
      <w:t>A free resource provided by www.bradfordvts.co.uk, Dr Ramesh Mehay · revised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19786" w14:textId="77777777" w:rsidR="00A81FA3" w:rsidRDefault="00A81FA3">
      <w:pPr>
        <w:spacing w:after="0" w:line="240" w:lineRule="auto"/>
      </w:pPr>
      <w:r>
        <w:separator/>
      </w:r>
    </w:p>
  </w:footnote>
  <w:footnote w:type="continuationSeparator" w:id="0">
    <w:p w14:paraId="706BB03D" w14:textId="77777777" w:rsidR="00A81FA3" w:rsidRDefault="00A81F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34121597">
    <w:abstractNumId w:val="8"/>
  </w:num>
  <w:num w:numId="2" w16cid:durableId="329136660">
    <w:abstractNumId w:val="6"/>
  </w:num>
  <w:num w:numId="3" w16cid:durableId="1744638048">
    <w:abstractNumId w:val="5"/>
  </w:num>
  <w:num w:numId="4" w16cid:durableId="1175875180">
    <w:abstractNumId w:val="4"/>
  </w:num>
  <w:num w:numId="5" w16cid:durableId="588658858">
    <w:abstractNumId w:val="7"/>
  </w:num>
  <w:num w:numId="6" w16cid:durableId="1775707159">
    <w:abstractNumId w:val="3"/>
  </w:num>
  <w:num w:numId="7" w16cid:durableId="1013145297">
    <w:abstractNumId w:val="2"/>
  </w:num>
  <w:num w:numId="8" w16cid:durableId="1985501538">
    <w:abstractNumId w:val="1"/>
  </w:num>
  <w:num w:numId="9" w16cid:durableId="1100568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81FA3"/>
    <w:rsid w:val="00AA1D8D"/>
    <w:rsid w:val="00B47730"/>
    <w:rsid w:val="00CB0664"/>
    <w:rsid w:val="00D438A7"/>
    <w:rsid w:val="00DD2C7A"/>
    <w:rsid w:val="00F1621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95A226"/>
  <w14:defaultImageDpi w14:val="300"/>
  <w15:docId w15:val="{D15B5B59-F2DD-40B4-9E7C-170D4540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580</Words>
  <Characters>3592</Characters>
  <Application>Microsoft Office Word</Application>
  <DocSecurity>0</DocSecurity>
  <Lines>89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2026-06-18T16:27:00Z</dcterms:modified>
  <cp:category/>
</cp:coreProperties>
</file>