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A15B02" w14:paraId="66C8032B" w14:textId="77777777">
        <w:trPr>
          <w:jc w:val="center"/>
        </w:trPr>
        <w:tc>
          <w:tcPr>
            <w:tcW w:w="9029" w:type="dxa"/>
            <w:shd w:val="clear" w:color="auto" w:fill="E0651F"/>
          </w:tcPr>
          <w:p w14:paraId="2C12C2CD" w14:textId="77777777" w:rsidR="00A15B02" w:rsidRDefault="00000000">
            <w:pPr>
              <w:spacing w:before="120" w:after="120"/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BRADFORD VTS TEACHING AIDS</w:t>
            </w:r>
          </w:p>
        </w:tc>
      </w:tr>
      <w:tr w:rsidR="00A15B02" w14:paraId="6C1ED106" w14:textId="77777777">
        <w:trPr>
          <w:jc w:val="center"/>
        </w:trPr>
        <w:tc>
          <w:tcPr>
            <w:tcW w:w="9029" w:type="dxa"/>
            <w:shd w:val="clear" w:color="auto" w:fill="E0651F"/>
          </w:tcPr>
          <w:p w14:paraId="347ACABF" w14:textId="77777777" w:rsidR="00F779DC" w:rsidRDefault="00000000">
            <w:pPr>
              <w:spacing w:before="120" w:after="120"/>
              <w:jc w:val="center"/>
              <w:rPr>
                <w:rFonts w:ascii="Calibri" w:hAnsi="Calibri"/>
                <w:b/>
                <w:color w:val="FFFFFF"/>
                <w:sz w:val="60"/>
              </w:rPr>
            </w:pPr>
            <w:r>
              <w:rPr>
                <w:rFonts w:ascii="Calibri" w:hAnsi="Calibri"/>
                <w:b/>
                <w:color w:val="FFFFFF"/>
                <w:sz w:val="60"/>
              </w:rPr>
              <w:t xml:space="preserve">Knee Problems — </w:t>
            </w:r>
          </w:p>
          <w:p w14:paraId="222E7A84" w14:textId="722FF299" w:rsidR="00A15B02" w:rsidRPr="00F779DC" w:rsidRDefault="00000000">
            <w:pPr>
              <w:spacing w:before="120" w:after="120"/>
              <w:jc w:val="center"/>
              <w:rPr>
                <w:i/>
                <w:iCs/>
              </w:rPr>
            </w:pPr>
            <w:proofErr w:type="spellStart"/>
            <w:r w:rsidRPr="00F779DC">
              <w:rPr>
                <w:rFonts w:ascii="Calibri" w:hAnsi="Calibri"/>
                <w:b/>
                <w:i/>
                <w:iCs/>
                <w:color w:val="FFFFFF"/>
                <w:sz w:val="60"/>
              </w:rPr>
              <w:t>Sussing</w:t>
            </w:r>
            <w:proofErr w:type="spellEnd"/>
            <w:r w:rsidRPr="00F779DC">
              <w:rPr>
                <w:rFonts w:ascii="Calibri" w:hAnsi="Calibri"/>
                <w:b/>
                <w:i/>
                <w:iCs/>
                <w:color w:val="FFFFFF"/>
                <w:sz w:val="60"/>
              </w:rPr>
              <w:t xml:space="preserve"> It Out in 10 Minutes</w:t>
            </w:r>
          </w:p>
        </w:tc>
      </w:tr>
      <w:tr w:rsidR="00A15B02" w14:paraId="0FF3E925" w14:textId="77777777">
        <w:trPr>
          <w:jc w:val="center"/>
        </w:trPr>
        <w:tc>
          <w:tcPr>
            <w:tcW w:w="9029" w:type="dxa"/>
            <w:shd w:val="clear" w:color="auto" w:fill="E0651F"/>
          </w:tcPr>
          <w:p w14:paraId="7545C06C" w14:textId="77777777" w:rsidR="00A15B02" w:rsidRDefault="00000000">
            <w:pPr>
              <w:spacing w:before="120" w:after="120"/>
              <w:jc w:val="center"/>
            </w:pPr>
            <w:r>
              <w:rPr>
                <w:rFonts w:ascii="Calibri" w:hAnsi="Calibri"/>
                <w:i/>
                <w:color w:val="FFFFFF"/>
                <w:sz w:val="24"/>
              </w:rPr>
              <w:t>A Quick-Reference Consultation Guide · Bradford VTS · June 2026</w:t>
            </w:r>
          </w:p>
        </w:tc>
      </w:tr>
    </w:tbl>
    <w:p w14:paraId="1B43F84D" w14:textId="77777777" w:rsidR="00A15B02" w:rsidRDefault="00A15B02"/>
    <w:p w14:paraId="19995CDE" w14:textId="77777777" w:rsidR="00A15B02" w:rsidRDefault="00000000">
      <w:pPr>
        <w:jc w:val="center"/>
      </w:pPr>
      <w:r>
        <w:rPr>
          <w:noProof/>
        </w:rPr>
        <w:drawing>
          <wp:inline distT="0" distB="0" distL="0" distR="0" wp14:anchorId="2F04756D" wp14:editId="59199B15">
            <wp:extent cx="5029200" cy="3352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nee_assessment_hero_4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C81A6" w14:textId="77777777" w:rsidR="00A15B02" w:rsidRDefault="00000000">
      <w:pPr>
        <w:jc w:val="center"/>
      </w:pPr>
      <w:r>
        <w:rPr>
          <w:i/>
          <w:color w:val="888888"/>
          <w:sz w:val="20"/>
        </w:rPr>
        <w:t>Most GPs have 10–15 minutes — this guide helps you identify the three commonest traumatic knee problems using history-first reasoning.</w:t>
      </w:r>
    </w:p>
    <w:p w14:paraId="48567E58" w14:textId="77777777" w:rsidR="00A15B02" w:rsidRDefault="00A15B02"/>
    <w:p w14:paraId="3939C2EC" w14:textId="77777777" w:rsidR="00A15B02" w:rsidRDefault="00000000">
      <w:pPr>
        <w:spacing w:after="60"/>
      </w:pPr>
      <w:r>
        <w:rPr>
          <w:rFonts w:ascii="Calibri" w:hAnsi="Calibri"/>
        </w:rPr>
        <w:t>Specific examination tests (McMurray, Lachman) require skill and a relaxed patient — unreliable in inexperienced hands. This guide helps you differentiate the three commonest knee conditions and decide on referral using history alone.</w:t>
      </w:r>
    </w:p>
    <w:p w14:paraId="77F7A01D" w14:textId="77777777" w:rsidR="00A15B02" w:rsidRDefault="00A15B02"/>
    <w:p w14:paraId="71C66434" w14:textId="77777777" w:rsidR="00A15B02" w:rsidRDefault="00000000">
      <w:pPr>
        <w:spacing w:before="280" w:after="80"/>
      </w:pPr>
      <w:r>
        <w:rPr>
          <w:rFonts w:ascii="Calibri" w:hAnsi="Calibri"/>
          <w:b/>
          <w:color w:val="1A3A5C"/>
          <w:sz w:val="34"/>
        </w:rPr>
        <w:t>The RTA Analogy — Match Symptoms to Diagnosis</w:t>
      </w:r>
    </w:p>
    <w:p w14:paraId="62FF1FD7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ACL rupture = Major RTA → dramatic presentation, major symptoms and exam findings</w:t>
      </w:r>
    </w:p>
    <w:p w14:paraId="70756C2B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Meniscal tear = Moderate RTA → less dramatic, moderate symptoms, moderate exam findings</w:t>
      </w:r>
    </w:p>
    <w:p w14:paraId="63C3B17E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Patellofemoral syndrome = Minor RTA/near miss → minor or no dramatic findings</w:t>
      </w:r>
    </w:p>
    <w:p w14:paraId="657D22FC" w14:textId="77777777" w:rsidR="00A15B02" w:rsidRDefault="00000000">
      <w:pPr>
        <w:spacing w:after="60"/>
      </w:pPr>
      <w:r>
        <w:rPr>
          <w:rFonts w:ascii="Calibri" w:hAnsi="Calibri"/>
        </w:rPr>
        <w:t>Always use the COMBINATION of symptoms — not any single feature in isolation.</w:t>
      </w:r>
    </w:p>
    <w:p w14:paraId="0CB41330" w14:textId="77777777" w:rsidR="00A15B02" w:rsidRDefault="00A15B02"/>
    <w:p w14:paraId="7350D2A7" w14:textId="77777777" w:rsidR="00A15B02" w:rsidRDefault="00000000">
      <w:pPr>
        <w:spacing w:before="280" w:after="80"/>
      </w:pPr>
      <w:r>
        <w:rPr>
          <w:rFonts w:ascii="Calibri" w:hAnsi="Calibri"/>
          <w:b/>
          <w:color w:val="1A3A5C"/>
          <w:sz w:val="34"/>
        </w:rPr>
        <w:lastRenderedPageBreak/>
        <w:t>History — The Diagnostic Tool</w:t>
      </w:r>
    </w:p>
    <w:p w14:paraId="7EAE5609" w14:textId="77777777" w:rsidR="00A15B02" w:rsidRDefault="00000000">
      <w:pPr>
        <w:spacing w:before="160" w:after="60"/>
      </w:pPr>
      <w:r>
        <w:rPr>
          <w:rFonts w:ascii="Calibri" w:hAnsi="Calibri"/>
          <w:b/>
          <w:color w:val="007A87"/>
          <w:sz w:val="26"/>
        </w:rPr>
        <w:t>Timing of presentation after injury</w:t>
      </w:r>
    </w:p>
    <w:p w14:paraId="0127A3C4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&lt; 24 hours → think ACL rupture</w:t>
      </w:r>
    </w:p>
    <w:p w14:paraId="68C2397E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24–48 hours → think meniscal tear</w:t>
      </w:r>
    </w:p>
    <w:p w14:paraId="7E2485D1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Days/weeks later → patellofemoral syndrome (no acute injury)</w:t>
      </w:r>
    </w:p>
    <w:p w14:paraId="5A2E8F92" w14:textId="77777777" w:rsidR="00A15B02" w:rsidRDefault="00000000">
      <w:pPr>
        <w:spacing w:before="160" w:after="60"/>
      </w:pPr>
      <w:r>
        <w:rPr>
          <w:rFonts w:ascii="Calibri" w:hAnsi="Calibri"/>
          <w:b/>
          <w:color w:val="007A87"/>
          <w:sz w:val="26"/>
        </w:rPr>
        <w:t>Swelling — timing is diagnostic</w:t>
      </w:r>
    </w:p>
    <w:p w14:paraId="4746BC90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&lt; 8 hours (large haemarthrosis) → ACL rupture (70%) or osteochondral fracture</w:t>
      </w:r>
    </w:p>
    <w:p w14:paraId="7FBCC90F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24–48 hours (moderate effusion) → meniscal tear</w:t>
      </w:r>
    </w:p>
    <w:p w14:paraId="087A421C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Very minor or no swelling → patellofemoral syndrome</w:t>
      </w:r>
    </w:p>
    <w:p w14:paraId="5546D0D0" w14:textId="77777777" w:rsidR="00A15B02" w:rsidRDefault="00000000">
      <w:pPr>
        <w:spacing w:before="160" w:after="60"/>
      </w:pPr>
      <w:r>
        <w:rPr>
          <w:rFonts w:ascii="Calibri" w:hAnsi="Calibri"/>
          <w:b/>
          <w:color w:val="007A87"/>
          <w:sz w:val="26"/>
        </w:rPr>
        <w:t>Pain location</w:t>
      </w:r>
    </w:p>
    <w:p w14:paraId="18C58E96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All over knee (large haemarthrosis) → ACL</w:t>
      </w:r>
    </w:p>
    <w:p w14:paraId="6DFBCDDB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Medial joint line → meniscal tear</w:t>
      </w:r>
    </w:p>
    <w:p w14:paraId="701541B1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Anterolateral/peri-patellar → patellofemoral syndrome</w:t>
      </w:r>
    </w:p>
    <w:p w14:paraId="7A861C4F" w14:textId="77777777" w:rsidR="00A15B02" w:rsidRDefault="00000000">
      <w:pPr>
        <w:spacing w:before="160" w:after="60"/>
      </w:pPr>
      <w:r>
        <w:rPr>
          <w:rFonts w:ascii="Calibri" w:hAnsi="Calibri"/>
          <w:b/>
          <w:color w:val="007A87"/>
          <w:sz w:val="26"/>
        </w:rPr>
        <w:t>What to ask — mechanism clues</w:t>
      </w:r>
    </w:p>
    <w:p w14:paraId="05F8EA07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'Did you hear a snap, crack or pop?' → ACL rupture</w:t>
      </w:r>
    </w:p>
    <w:p w14:paraId="3936D49A" w14:textId="7498E148" w:rsidR="00A15B02" w:rsidRDefault="00000000">
      <w:pPr>
        <w:spacing w:after="40"/>
        <w:ind w:left="360"/>
      </w:pPr>
      <w:r>
        <w:rPr>
          <w:rFonts w:ascii="Calibri" w:hAnsi="Calibri"/>
        </w:rPr>
        <w:t>• 'Was it a twisting injury?' → meniscal tear</w:t>
      </w:r>
      <w:r w:rsidR="00F779DC">
        <w:rPr>
          <w:rFonts w:ascii="Calibri" w:hAnsi="Calibri"/>
        </w:rPr>
        <w:t xml:space="preserve">.   </w:t>
      </w:r>
    </w:p>
    <w:p w14:paraId="0786EB6B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'Did your knee give way completely?' → ACL</w:t>
      </w:r>
    </w:p>
    <w:p w14:paraId="5E0228AF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'Did it lock — couldn't you straighten it?' → meniscal tear</w:t>
      </w:r>
    </w:p>
    <w:p w14:paraId="13DF9FFD" w14:textId="77777777" w:rsidR="00A15B02" w:rsidRDefault="00000000">
      <w:pPr>
        <w:spacing w:after="40"/>
        <w:ind w:left="360"/>
        <w:rPr>
          <w:rFonts w:ascii="Calibri" w:hAnsi="Calibri"/>
        </w:rPr>
      </w:pPr>
      <w:r>
        <w:rPr>
          <w:rFonts w:ascii="Calibri" w:hAnsi="Calibri"/>
        </w:rPr>
        <w:t>• 'What could you do after injury?': Unable to continue → ACL; could hobble → meniscal</w:t>
      </w:r>
    </w:p>
    <w:p w14:paraId="3FDB9478" w14:textId="77777777" w:rsidR="00F779DC" w:rsidRDefault="00F779DC">
      <w:pPr>
        <w:spacing w:after="40"/>
        <w:ind w:left="360"/>
        <w:rPr>
          <w:rFonts w:ascii="Calibri" w:hAnsi="Calibri"/>
        </w:rPr>
      </w:pPr>
    </w:p>
    <w:p w14:paraId="1A8C2E38" w14:textId="77777777" w:rsidR="00F779DC" w:rsidRPr="00F779DC" w:rsidRDefault="00F779DC" w:rsidP="00F779DC">
      <w:pPr>
        <w:spacing w:after="40"/>
        <w:rPr>
          <w:rFonts w:ascii="Calibri" w:hAnsi="Calibri"/>
          <w:b/>
          <w:bCs/>
        </w:rPr>
      </w:pPr>
      <w:r w:rsidRPr="00F779DC">
        <w:rPr>
          <w:rFonts w:ascii="Calibri" w:hAnsi="Calibri"/>
          <w:b/>
          <w:bCs/>
          <w:color w:val="EE0000"/>
        </w:rPr>
        <w:t>TWISTING &amp; SWELLING ARE IMPORTANT QUESTIONS TO ASK</w:t>
      </w:r>
    </w:p>
    <w:p w14:paraId="327501B3" w14:textId="5BC7C98E" w:rsidR="00F779DC" w:rsidRPr="00F779DC" w:rsidRDefault="00F779DC" w:rsidP="00F779DC">
      <w:pPr>
        <w:pStyle w:val="ListParagraph"/>
        <w:numPr>
          <w:ilvl w:val="0"/>
          <w:numId w:val="10"/>
        </w:numPr>
        <w:spacing w:after="40"/>
        <w:rPr>
          <w:rFonts w:ascii="Calibri" w:hAnsi="Calibri"/>
          <w:b/>
          <w:bCs/>
        </w:rPr>
      </w:pPr>
      <w:r w:rsidRPr="00F779DC">
        <w:rPr>
          <w:rFonts w:ascii="Calibri" w:hAnsi="Calibri"/>
          <w:b/>
          <w:bCs/>
        </w:rPr>
        <w:t>Twisting alone = 25% likelihood of internal knee damage</w:t>
      </w:r>
    </w:p>
    <w:p w14:paraId="24A1E7B5" w14:textId="76622095" w:rsidR="00F779DC" w:rsidRPr="00F779DC" w:rsidRDefault="00F779DC" w:rsidP="00F779DC">
      <w:pPr>
        <w:pStyle w:val="ListParagraph"/>
        <w:numPr>
          <w:ilvl w:val="0"/>
          <w:numId w:val="10"/>
        </w:numPr>
        <w:spacing w:after="40"/>
        <w:rPr>
          <w:b/>
          <w:bCs/>
        </w:rPr>
      </w:pPr>
      <w:r w:rsidRPr="00F779DC">
        <w:rPr>
          <w:rFonts w:ascii="Calibri" w:hAnsi="Calibri"/>
          <w:b/>
          <w:bCs/>
        </w:rPr>
        <w:t>Twisting + Swelling = 90% likelihood of internal knee damage.</w:t>
      </w:r>
    </w:p>
    <w:p w14:paraId="05095B4B" w14:textId="77777777" w:rsidR="00A15B02" w:rsidRDefault="00000000">
      <w:pPr>
        <w:spacing w:before="160" w:after="60"/>
      </w:pPr>
      <w:r>
        <w:rPr>
          <w:rFonts w:ascii="Calibri" w:hAnsi="Calibri"/>
          <w:b/>
          <w:color w:val="007A87"/>
          <w:sz w:val="26"/>
        </w:rPr>
        <w:t>Patellofemoral syndrome — recognise quickly</w:t>
      </w:r>
    </w:p>
    <w:p w14:paraId="5300106E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Anterior knee pain, worse going DOWN stairs (not up)</w:t>
      </w:r>
    </w:p>
    <w:p w14:paraId="4483310A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'Cinema sign': pain in prolonged knee flexion (cinema, driving)</w:t>
      </w:r>
    </w:p>
    <w:p w14:paraId="77FD27BE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Common in prepubertal girls; adults taking up hill walking/running</w:t>
      </w:r>
    </w:p>
    <w:p w14:paraId="45EA9F6E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Worse squatting, crouching, cycling — NO acute injury history</w:t>
      </w:r>
    </w:p>
    <w:p w14:paraId="54F31F18" w14:textId="77777777" w:rsidR="00A15B02" w:rsidRDefault="00A15B02"/>
    <w:p w14:paraId="0DFCB749" w14:textId="77777777" w:rsidR="00A15B02" w:rsidRDefault="00000000">
      <w:pPr>
        <w:spacing w:before="280" w:after="80"/>
      </w:pPr>
      <w:r>
        <w:rPr>
          <w:rFonts w:ascii="Calibri" w:hAnsi="Calibri"/>
          <w:b/>
          <w:color w:val="1A3A5C"/>
          <w:sz w:val="34"/>
        </w:rPr>
        <w:t>Brief Examination Findings</w:t>
      </w:r>
    </w:p>
    <w:p w14:paraId="33101DA6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ACL: very large swollen knee, major distress, can hardly walk</w:t>
      </w:r>
    </w:p>
    <w:p w14:paraId="0C4E30A4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Meniscal: overnight swelling (moderate), medial joint line pain, can just about hobble</w:t>
      </w:r>
    </w:p>
    <w:p w14:paraId="2EACB40F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Patellofemoral: anterolateral knee pain; pushing patella laterally reproduces pain; no effusion</w:t>
      </w:r>
    </w:p>
    <w:p w14:paraId="32846AEF" w14:textId="77777777" w:rsidR="00A15B02" w:rsidRDefault="00000000">
      <w:pPr>
        <w:spacing w:after="60"/>
      </w:pPr>
      <w:r>
        <w:rPr>
          <w:rFonts w:ascii="Calibri" w:hAnsi="Calibri"/>
        </w:rPr>
        <w:t>Key: In the acute setting, swelling and pain prevent reliable special test performance. Trust the history.</w:t>
      </w:r>
    </w:p>
    <w:p w14:paraId="33B54596" w14:textId="1FD38617" w:rsidR="00F779DC" w:rsidRDefault="00F779DC">
      <w:pPr>
        <w:rPr>
          <w:rFonts w:ascii="Calibri" w:hAnsi="Calibri"/>
          <w:b/>
          <w:color w:val="1A3A5C"/>
          <w:sz w:val="34"/>
        </w:rPr>
      </w:pPr>
    </w:p>
    <w:p w14:paraId="332D36C4" w14:textId="65C0E244" w:rsidR="00A15B02" w:rsidRDefault="00000000">
      <w:pPr>
        <w:spacing w:before="280" w:after="80"/>
      </w:pPr>
      <w:r>
        <w:rPr>
          <w:rFonts w:ascii="Calibri" w:hAnsi="Calibri"/>
          <w:b/>
          <w:color w:val="1A3A5C"/>
          <w:sz w:val="34"/>
        </w:rPr>
        <w:lastRenderedPageBreak/>
        <w:t>Referral — What to Do</w:t>
      </w:r>
    </w:p>
    <w:p w14:paraId="689ABC5E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ACL tears: urgent referral to orthopaedics/sports medicine (within days)</w:t>
      </w:r>
    </w:p>
    <w:p w14:paraId="133940B6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Meniscal tears: refer within the week to acute knee clinic</w:t>
      </w:r>
    </w:p>
    <w:p w14:paraId="16744270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Locked knee: refer urgently — early meniscal repair possible</w:t>
      </w:r>
    </w:p>
    <w:p w14:paraId="05257EA2" w14:textId="77777777" w:rsidR="00A15B02" w:rsidRDefault="00000000">
      <w:pPr>
        <w:spacing w:after="40"/>
        <w:ind w:left="360"/>
      </w:pPr>
      <w:r>
        <w:rPr>
          <w:rFonts w:ascii="Calibri" w:hAnsi="Calibri"/>
        </w:rPr>
        <w:t>• Patellofemoral syndrome: refer to physiotherapy; avoid orthopaedic referral initially</w:t>
      </w:r>
    </w:p>
    <w:p w14:paraId="0A77CC52" w14:textId="77777777" w:rsidR="00A15B02" w:rsidRDefault="00A15B0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A15B02" w14:paraId="31E8F3FF" w14:textId="77777777">
        <w:tc>
          <w:tcPr>
            <w:tcW w:w="9029" w:type="dxa"/>
            <w:shd w:val="clear" w:color="auto" w:fill="5A189A"/>
          </w:tcPr>
          <w:p w14:paraId="30E6137F" w14:textId="77777777" w:rsidR="00A15B02" w:rsidRDefault="00000000">
            <w:r>
              <w:rPr>
                <w:rFonts w:ascii="Calibri" w:hAnsi="Calibri"/>
                <w:b/>
                <w:color w:val="FFFFFF"/>
                <w:sz w:val="24"/>
              </w:rPr>
              <w:t>🟣 AKT Exam Focus</w:t>
            </w:r>
          </w:p>
          <w:p w14:paraId="0586C156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Haemarthrosis &lt; 8h → ACL (70%) or osteochondral fracture</w:t>
            </w:r>
          </w:p>
          <w:p w14:paraId="1DB3BDB0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Meniscal swelling: 24–48h effusion (NOT haemarthrosis)</w:t>
            </w:r>
          </w:p>
          <w:p w14:paraId="1380BA51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McMurray sensitivity only 53% — composite examination preferred (sensitivity 77%, specificity 91%)</w:t>
            </w:r>
          </w:p>
          <w:p w14:paraId="4C7883CD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Lachman LR+ 25.0 vs Anterior Drawer LR+ 3.8 — Lachman far more reliable</w:t>
            </w:r>
          </w:p>
          <w:p w14:paraId="46652929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Knee never locks in full extension — always in partial flexion</w:t>
            </w:r>
          </w:p>
        </w:tc>
      </w:tr>
    </w:tbl>
    <w:p w14:paraId="50E538E7" w14:textId="77777777" w:rsidR="00A15B02" w:rsidRDefault="00A15B0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A15B02" w14:paraId="6A9B744A" w14:textId="77777777">
        <w:tc>
          <w:tcPr>
            <w:tcW w:w="9029" w:type="dxa"/>
            <w:shd w:val="clear" w:color="auto" w:fill="207A30"/>
          </w:tcPr>
          <w:p w14:paraId="04C4E9C3" w14:textId="77777777" w:rsidR="00A15B02" w:rsidRDefault="00000000">
            <w:r>
              <w:rPr>
                <w:rFonts w:ascii="Calibri" w:hAnsi="Calibri"/>
                <w:b/>
                <w:color w:val="FFFFFF"/>
                <w:sz w:val="24"/>
              </w:rPr>
              <w:t>🟢 SCA Consultation Tips</w:t>
            </w:r>
          </w:p>
          <w:p w14:paraId="11488A47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Acknowledge impact: 'I can see this has really affected your sport/daily life.'</w:t>
            </w:r>
          </w:p>
          <w:p w14:paraId="26ED6E42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Safety-netting ACL: 'Your knee may give way again — if it does, go to A&amp;E or ring us straight away.'</w:t>
            </w:r>
          </w:p>
          <w:p w14:paraId="7DAB90BF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Safety-netting meniscal: 'If your knee locks and you can't straighten it, go straight to A&amp;E.'</w:t>
            </w:r>
          </w:p>
          <w:p w14:paraId="39DCE71F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Don't over-promise: 'I want to be certain, so I'm going to refer you to a specialist.'</w:t>
            </w:r>
          </w:p>
        </w:tc>
      </w:tr>
    </w:tbl>
    <w:p w14:paraId="68C92787" w14:textId="77777777" w:rsidR="00A15B02" w:rsidRDefault="00A15B0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A15B02" w14:paraId="25C784D3" w14:textId="77777777">
        <w:tc>
          <w:tcPr>
            <w:tcW w:w="9029" w:type="dxa"/>
            <w:shd w:val="clear" w:color="auto" w:fill="C02020"/>
          </w:tcPr>
          <w:p w14:paraId="07FE4E6C" w14:textId="77777777" w:rsidR="00A15B02" w:rsidRDefault="00000000">
            <w:r>
              <w:rPr>
                <w:rFonts w:ascii="Calibri" w:hAnsi="Calibri"/>
                <w:b/>
                <w:color w:val="FFFFFF"/>
                <w:sz w:val="24"/>
              </w:rPr>
              <w:t>🔴 Red Flags</w:t>
            </w:r>
          </w:p>
          <w:p w14:paraId="421339AF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Hot joint + fever → septic arthritis — emergency</w:t>
            </w:r>
          </w:p>
          <w:p w14:paraId="7698CE1B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Acute haemarthrosis &lt; 8h → refer urgently (ACL/osteochondral fracture)</w:t>
            </w:r>
          </w:p>
          <w:p w14:paraId="5F27D259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True locking (can't straighten) → refer urgently (meniscal flap)</w:t>
            </w:r>
          </w:p>
          <w:p w14:paraId="15BD99F2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Neurovascular compromise → A&amp;E immediately</w:t>
            </w:r>
          </w:p>
        </w:tc>
      </w:tr>
    </w:tbl>
    <w:p w14:paraId="723F570F" w14:textId="77777777" w:rsidR="00A15B02" w:rsidRDefault="00A15B0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A15B02" w14:paraId="519FF3FC" w14:textId="77777777">
        <w:tc>
          <w:tcPr>
            <w:tcW w:w="9029" w:type="dxa"/>
            <w:shd w:val="clear" w:color="auto" w:fill="007A87"/>
          </w:tcPr>
          <w:p w14:paraId="02FBD470" w14:textId="77777777" w:rsidR="00A15B02" w:rsidRDefault="00000000">
            <w:r>
              <w:rPr>
                <w:rFonts w:ascii="Calibri" w:hAnsi="Calibri"/>
                <w:b/>
                <w:color w:val="FFFFFF"/>
                <w:sz w:val="24"/>
              </w:rPr>
              <w:t>💡 Top Tips</w:t>
            </w:r>
          </w:p>
          <w:p w14:paraId="12117514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Trust history over examination — textbook ACL history = refer even if exam is normal</w:t>
            </w:r>
          </w:p>
          <w:p w14:paraId="42C53013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Aspirate an acute haemarthrosis: therapeutic AND diagnostic</w:t>
            </w:r>
          </w:p>
          <w:p w14:paraId="21D20F0A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Composite examination (all tests together): sensitivity 77%, specificity 91%</w:t>
            </w:r>
          </w:p>
          <w:p w14:paraId="1297A6B6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Patellofemoral syndrome: patellar taping + VMO exercises. Drugs don't help.</w:t>
            </w:r>
          </w:p>
          <w:p w14:paraId="5EE350CF" w14:textId="77777777" w:rsidR="00A15B02" w:rsidRDefault="00000000">
            <w:r>
              <w:rPr>
                <w:rFonts w:ascii="Calibri" w:hAnsi="Calibri"/>
                <w:color w:val="FFFFFF"/>
              </w:rPr>
              <w:t xml:space="preserve">  • Never recommend glucosamine for OA — NOT recommended by NICE NG226</w:t>
            </w:r>
          </w:p>
        </w:tc>
      </w:tr>
    </w:tbl>
    <w:p w14:paraId="005FDBC6" w14:textId="77777777" w:rsidR="00A15B02" w:rsidRDefault="00A15B02"/>
    <w:p w14:paraId="787EEA82" w14:textId="77777777" w:rsidR="00A15B02" w:rsidRDefault="00A15B0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A15B02" w14:paraId="28CB109B" w14:textId="77777777">
        <w:tc>
          <w:tcPr>
            <w:tcW w:w="9029" w:type="dxa"/>
            <w:shd w:val="clear" w:color="auto" w:fill="FFF3CD"/>
          </w:tcPr>
          <w:p w14:paraId="37F7642E" w14:textId="77777777" w:rsidR="00A15B02" w:rsidRDefault="00000000">
            <w:pPr>
              <w:jc w:val="center"/>
            </w:pPr>
            <w:r>
              <w:rPr>
                <w:rFonts w:ascii="Calibri" w:hAnsi="Calibri"/>
                <w:b/>
                <w:color w:val="856004"/>
              </w:rPr>
              <w:t>⚠ Always double check this advice and drug doses with the latest NICE/BNF guidance. This document is for educational purposes only.</w:t>
            </w:r>
          </w:p>
        </w:tc>
      </w:tr>
    </w:tbl>
    <w:p w14:paraId="1148C043" w14:textId="77777777" w:rsidR="00322F81" w:rsidRDefault="00322F81"/>
    <w:sectPr w:rsidR="00322F81" w:rsidSect="00034616">
      <w:footerReference w:type="default" r:id="rId9"/>
      <w:pgSz w:w="11909" w:h="16834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A1712" w14:textId="77777777" w:rsidR="00322F81" w:rsidRDefault="00322F81">
      <w:pPr>
        <w:spacing w:after="0" w:line="240" w:lineRule="auto"/>
      </w:pPr>
      <w:r>
        <w:separator/>
      </w:r>
    </w:p>
  </w:endnote>
  <w:endnote w:type="continuationSeparator" w:id="0">
    <w:p w14:paraId="5A00B1CF" w14:textId="77777777" w:rsidR="00322F81" w:rsidRDefault="00322F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CE218" w14:textId="77777777" w:rsidR="00A15B02" w:rsidRDefault="00000000">
    <w:pPr>
      <w:pStyle w:val="Footer"/>
      <w:jc w:val="center"/>
    </w:pPr>
    <w:r>
      <w:rPr>
        <w:rFonts w:ascii="Calibri" w:hAnsi="Calibri"/>
        <w:i/>
        <w:color w:val="888888"/>
        <w:sz w:val="18"/>
      </w:rPr>
      <w:t>A free resource provided by www.bradfordvts.co.uk, Dr Ramesh Mehay, revised June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7914C" w14:textId="77777777" w:rsidR="00322F81" w:rsidRDefault="00322F81">
      <w:pPr>
        <w:spacing w:after="0" w:line="240" w:lineRule="auto"/>
      </w:pPr>
      <w:r>
        <w:separator/>
      </w:r>
    </w:p>
  </w:footnote>
  <w:footnote w:type="continuationSeparator" w:id="0">
    <w:p w14:paraId="33894446" w14:textId="77777777" w:rsidR="00322F81" w:rsidRDefault="00322F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EED3A4A"/>
    <w:multiLevelType w:val="hybridMultilevel"/>
    <w:tmpl w:val="D45C5A2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33278296">
    <w:abstractNumId w:val="8"/>
  </w:num>
  <w:num w:numId="2" w16cid:durableId="1377319911">
    <w:abstractNumId w:val="6"/>
  </w:num>
  <w:num w:numId="3" w16cid:durableId="233319104">
    <w:abstractNumId w:val="5"/>
  </w:num>
  <w:num w:numId="4" w16cid:durableId="1055814831">
    <w:abstractNumId w:val="4"/>
  </w:num>
  <w:num w:numId="5" w16cid:durableId="1750074851">
    <w:abstractNumId w:val="7"/>
  </w:num>
  <w:num w:numId="6" w16cid:durableId="1218980348">
    <w:abstractNumId w:val="3"/>
  </w:num>
  <w:num w:numId="7" w16cid:durableId="1666057614">
    <w:abstractNumId w:val="2"/>
  </w:num>
  <w:num w:numId="8" w16cid:durableId="1668939909">
    <w:abstractNumId w:val="1"/>
  </w:num>
  <w:num w:numId="9" w16cid:durableId="523371538">
    <w:abstractNumId w:val="0"/>
  </w:num>
  <w:num w:numId="10" w16cid:durableId="16729031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2F81"/>
    <w:rsid w:val="00326F90"/>
    <w:rsid w:val="007C6E4A"/>
    <w:rsid w:val="00A15B02"/>
    <w:rsid w:val="00AA1D8D"/>
    <w:rsid w:val="00B47730"/>
    <w:rsid w:val="00CB0664"/>
    <w:rsid w:val="00F779D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F102BF"/>
  <w14:defaultImageDpi w14:val="300"/>
  <w15:docId w15:val="{4A048C87-FCD2-47D8-965A-4A8CBAD4C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672</Words>
  <Characters>3863</Characters>
  <Application>Microsoft Office Word</Application>
  <DocSecurity>0</DocSecurity>
  <Lines>96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4452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2026-06-28T15:35:00Z</dcterms:modified>
  <cp:category/>
</cp:coreProperties>
</file>