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9746"/>
      </w:tblGrid>
      <w:tr w:rsidR="002A4E4B" w14:paraId="6A066500" w14:textId="77777777">
        <w:tblPrEx>
          <w:tblCellMar>
            <w:top w:w="0" w:type="dxa"/>
            <w:bottom w:w="0" w:type="dxa"/>
          </w:tblCellMar>
        </w:tblPrEx>
        <w:tc>
          <w:tcPr>
            <w:tcW w:w="9746" w:type="dxa"/>
            <w:shd w:val="clear" w:color="auto" w:fill="E2661A"/>
            <w:tcMar>
              <w:top w:w="110" w:type="dxa"/>
              <w:left w:w="200" w:type="dxa"/>
              <w:bottom w:w="110" w:type="dxa"/>
              <w:right w:w="200" w:type="dxa"/>
            </w:tcMar>
          </w:tcPr>
          <w:p w14:paraId="5D06D42B" w14:textId="77777777" w:rsidR="002A4E4B" w:rsidRDefault="00000000">
            <w:r>
              <w:rPr>
                <w:b/>
                <w:bCs/>
                <w:color w:val="FFFFFF"/>
                <w:spacing w:val="40"/>
                <w:sz w:val="26"/>
                <w:szCs w:val="26"/>
              </w:rPr>
              <w:t>BRADFORD VTS TEACHING AIDS</w:t>
            </w:r>
          </w:p>
        </w:tc>
      </w:tr>
    </w:tbl>
    <w:p w14:paraId="125D9E66" w14:textId="77777777" w:rsidR="002A4E4B" w:rsidRDefault="002A4E4B">
      <w:pPr>
        <w:spacing w:after="60"/>
      </w:pPr>
    </w:p>
    <w:p w14:paraId="2C926A06" w14:textId="77777777" w:rsidR="002A4E4B" w:rsidRDefault="00000000">
      <w:pPr>
        <w:keepNext/>
        <w:spacing w:before="60" w:after="30" w:line="320" w:lineRule="auto"/>
      </w:pPr>
      <w:r>
        <w:rPr>
          <w:b/>
          <w:bCs/>
          <w:color w:val="1F2A36"/>
          <w:sz w:val="48"/>
          <w:szCs w:val="48"/>
        </w:rPr>
        <w:t>Key Points in All MSK Problems</w:t>
      </w:r>
    </w:p>
    <w:p w14:paraId="07FA4026" w14:textId="77777777" w:rsidR="002A4E4B" w:rsidRDefault="002A4E4B">
      <w:pPr>
        <w:pBdr>
          <w:bottom w:val="single" w:sz="22" w:space="1" w:color="E2661A"/>
        </w:pBdr>
        <w:spacing w:after="60"/>
      </w:pPr>
    </w:p>
    <w:p w14:paraId="267BAEB9" w14:textId="77777777" w:rsidR="002A4E4B" w:rsidRDefault="00000000">
      <w:pPr>
        <w:tabs>
          <w:tab w:val="right" w:pos="9746"/>
        </w:tabs>
        <w:spacing w:before="40" w:after="200"/>
      </w:pPr>
      <w:r>
        <w:rPr>
          <w:b/>
          <w:bCs/>
          <w:color w:val="E2661A"/>
          <w:spacing w:val="12"/>
          <w:sz w:val="20"/>
          <w:szCs w:val="20"/>
        </w:rPr>
        <w:t xml:space="preserve">MSK Teaching </w:t>
      </w:r>
      <w:proofErr w:type="gramStart"/>
      <w:r>
        <w:rPr>
          <w:b/>
          <w:bCs/>
          <w:color w:val="E2661A"/>
          <w:spacing w:val="12"/>
          <w:sz w:val="20"/>
          <w:szCs w:val="20"/>
        </w:rPr>
        <w:t>Series  ·</w:t>
      </w:r>
      <w:proofErr w:type="gramEnd"/>
      <w:r>
        <w:rPr>
          <w:b/>
          <w:bCs/>
          <w:color w:val="E2661A"/>
          <w:spacing w:val="12"/>
          <w:sz w:val="20"/>
          <w:szCs w:val="20"/>
        </w:rPr>
        <w:t xml:space="preserve">  For GP Trainees &amp; IMGs</w:t>
      </w:r>
      <w:r>
        <w:rPr>
          <w:b/>
          <w:bCs/>
          <w:color w:val="5A636E"/>
          <w:sz w:val="20"/>
          <w:szCs w:val="20"/>
        </w:rPr>
        <w:tab/>
        <w:t>June 2026</w:t>
      </w:r>
    </w:p>
    <w:tbl>
      <w:tblPr>
        <w:tblW w:w="9746" w:type="dxa"/>
        <w:tblInd w:w="-35" w:type="dxa"/>
        <w:tblBorders>
          <w:top w:val="single" w:sz="2" w:space="0" w:color="2EA057"/>
          <w:left w:val="single" w:sz="28" w:space="0" w:color="2EA057"/>
          <w:bottom w:val="single" w:sz="2" w:space="0" w:color="2EA057"/>
          <w:right w:val="single" w:sz="2" w:space="0" w:color="2EA057"/>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5"/>
        <w:gridCol w:w="25"/>
        <w:gridCol w:w="638"/>
        <w:gridCol w:w="9013"/>
        <w:gridCol w:w="35"/>
      </w:tblGrid>
      <w:tr w:rsidR="002A4E4B" w14:paraId="7AC030C3" w14:textId="77777777" w:rsidTr="00E70CD9">
        <w:tblPrEx>
          <w:tblCellMar>
            <w:top w:w="0" w:type="dxa"/>
            <w:bottom w:w="0" w:type="dxa"/>
          </w:tblCellMar>
        </w:tblPrEx>
        <w:trPr>
          <w:gridBefore w:val="1"/>
          <w:wBefore w:w="35" w:type="dxa"/>
          <w:cantSplit/>
        </w:trPr>
        <w:tc>
          <w:tcPr>
            <w:tcW w:w="9711" w:type="dxa"/>
            <w:gridSpan w:val="4"/>
            <w:shd w:val="clear" w:color="auto" w:fill="E8F5EC"/>
            <w:tcMar>
              <w:top w:w="110" w:type="dxa"/>
              <w:left w:w="200" w:type="dxa"/>
              <w:bottom w:w="110" w:type="dxa"/>
              <w:right w:w="160" w:type="dxa"/>
            </w:tcMar>
          </w:tcPr>
          <w:p w14:paraId="71EABC88" w14:textId="77777777" w:rsidR="002A4E4B" w:rsidRDefault="00000000">
            <w:pPr>
              <w:spacing w:after="70" w:line="248" w:lineRule="auto"/>
            </w:pPr>
            <w:proofErr w:type="gramStart"/>
            <w:r>
              <w:rPr>
                <w:b/>
                <w:bCs/>
                <w:color w:val="1E7A40"/>
              </w:rPr>
              <w:t>✓  In</w:t>
            </w:r>
            <w:proofErr w:type="gramEnd"/>
            <w:r>
              <w:rPr>
                <w:b/>
                <w:bCs/>
                <w:color w:val="1E7A40"/>
              </w:rPr>
              <w:t xml:space="preserve"> a nutshell</w:t>
            </w:r>
          </w:p>
          <w:p w14:paraId="554F98A1" w14:textId="77777777" w:rsidR="002A4E4B" w:rsidRDefault="00000000">
            <w:pPr>
              <w:spacing w:after="60" w:line="252" w:lineRule="auto"/>
            </w:pPr>
            <w:r>
              <w:rPr>
                <w:b/>
                <w:bCs/>
              </w:rPr>
              <w:t>Most MSK problems are diagnosed and managed in primary care, from history and examination alone — imaging is usually unnecessary.</w:t>
            </w:r>
          </w:p>
          <w:p w14:paraId="699F2FA1" w14:textId="77777777" w:rsidR="002A4E4B" w:rsidRDefault="00000000">
            <w:pPr>
              <w:spacing w:after="60" w:line="252" w:lineRule="auto"/>
            </w:pPr>
            <w:r>
              <w:rPr>
                <w:b/>
                <w:bCs/>
              </w:rPr>
              <w:t xml:space="preserve">How you communicate is itself a treatment. </w:t>
            </w:r>
            <w:r>
              <w:t>The language you choose, the work conversation you have, and the way you motivate change all alter outcomes.</w:t>
            </w:r>
          </w:p>
          <w:p w14:paraId="1AF316D9" w14:textId="77777777" w:rsidR="002A4E4B" w:rsidRDefault="00000000">
            <w:pPr>
              <w:spacing w:line="252" w:lineRule="auto"/>
            </w:pPr>
            <w:r>
              <w:rPr>
                <w:b/>
                <w:bCs/>
              </w:rPr>
              <w:t xml:space="preserve">Protect against a 'disability mindset': </w:t>
            </w:r>
            <w:r>
              <w:t>keep people active, keep them at (or returning to) work, and frame conditions hopefully.</w:t>
            </w:r>
          </w:p>
        </w:tc>
      </w:tr>
      <w:tr w:rsidR="002A4E4B" w14:paraId="6969D423" w14:textId="77777777" w:rsidTr="00E70CD9">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rPr>
          <w:gridAfter w:val="1"/>
          <w:wAfter w:w="35" w:type="dxa"/>
        </w:trPr>
        <w:tc>
          <w:tcPr>
            <w:tcW w:w="60" w:type="dxa"/>
            <w:gridSpan w:val="2"/>
            <w:shd w:val="clear" w:color="auto" w:fill="E2661A"/>
            <w:tcMar>
              <w:top w:w="0" w:type="dxa"/>
              <w:left w:w="0" w:type="dxa"/>
              <w:bottom w:w="0" w:type="dxa"/>
              <w:right w:w="0" w:type="dxa"/>
            </w:tcMar>
          </w:tcPr>
          <w:p w14:paraId="3A1B8FF1" w14:textId="77777777" w:rsidR="002A4E4B" w:rsidRDefault="002A4E4B"/>
        </w:tc>
        <w:tc>
          <w:tcPr>
            <w:tcW w:w="9651" w:type="dxa"/>
            <w:gridSpan w:val="2"/>
            <w:shd w:val="clear" w:color="auto" w:fill="F4F6F8"/>
            <w:tcMar>
              <w:top w:w="70" w:type="dxa"/>
              <w:left w:w="150" w:type="dxa"/>
              <w:bottom w:w="70" w:type="dxa"/>
              <w:right w:w="120" w:type="dxa"/>
            </w:tcMar>
            <w:vAlign w:val="center"/>
          </w:tcPr>
          <w:p w14:paraId="4E6DE7FE" w14:textId="77777777" w:rsidR="002A4E4B" w:rsidRDefault="00000000">
            <w:pPr>
              <w:spacing w:line="252" w:lineRule="auto"/>
            </w:pPr>
            <w:r>
              <w:rPr>
                <w:b/>
                <w:bCs/>
                <w:color w:val="21303D"/>
                <w:sz w:val="27"/>
                <w:szCs w:val="27"/>
              </w:rPr>
              <w:t xml:space="preserve">Examine </w:t>
            </w:r>
            <w:proofErr w:type="gramStart"/>
            <w:r>
              <w:rPr>
                <w:b/>
                <w:bCs/>
                <w:color w:val="21303D"/>
                <w:sz w:val="27"/>
                <w:szCs w:val="27"/>
              </w:rPr>
              <w:t>well  ·</w:t>
            </w:r>
            <w:proofErr w:type="gramEnd"/>
            <w:r>
              <w:rPr>
                <w:b/>
                <w:bCs/>
                <w:color w:val="21303D"/>
                <w:sz w:val="27"/>
                <w:szCs w:val="27"/>
              </w:rPr>
              <w:t xml:space="preserve">  The five golden rules</w:t>
            </w:r>
          </w:p>
        </w:tc>
      </w:tr>
      <w:tr w:rsidR="002A4E4B" w14:paraId="6BC3FA87" w14:textId="77777777" w:rsidTr="00E70CD9">
        <w:tblPrEx>
          <w:tblBorders>
            <w:top w:val="single" w:sz="4" w:space="0" w:color="auto"/>
            <w:left w:val="single" w:sz="4" w:space="0" w:color="auto"/>
            <w:bottom w:val="single" w:sz="4" w:space="0" w:color="auto"/>
            <w:right w:val="single" w:sz="4" w:space="0" w:color="auto"/>
          </w:tblBorders>
          <w:tblCellMar>
            <w:top w:w="0" w:type="dxa"/>
            <w:bottom w:w="0" w:type="dxa"/>
          </w:tblCellMar>
        </w:tblPrEx>
        <w:trPr>
          <w:gridAfter w:val="1"/>
          <w:wAfter w:w="35" w:type="dxa"/>
          <w:cantSplit/>
          <w:tblHeader/>
        </w:trPr>
        <w:tc>
          <w:tcPr>
            <w:tcW w:w="698" w:type="dxa"/>
            <w:gridSpan w:val="3"/>
            <w:tcBorders>
              <w:top w:val="single" w:sz="4" w:space="0" w:color="E2661A"/>
              <w:left w:val="single" w:sz="4" w:space="0" w:color="E2661A"/>
              <w:bottom w:val="single" w:sz="4" w:space="0" w:color="E2661A"/>
              <w:right w:val="single" w:sz="4" w:space="0" w:color="E2661A"/>
            </w:tcBorders>
            <w:shd w:val="clear" w:color="auto" w:fill="E2661A"/>
            <w:tcMar>
              <w:top w:w="60" w:type="dxa"/>
              <w:left w:w="130" w:type="dxa"/>
              <w:bottom w:w="60" w:type="dxa"/>
              <w:right w:w="110" w:type="dxa"/>
            </w:tcMar>
            <w:vAlign w:val="center"/>
          </w:tcPr>
          <w:p w14:paraId="1BFC2CE4" w14:textId="77777777" w:rsidR="002A4E4B" w:rsidRDefault="002A4E4B">
            <w:pPr>
              <w:spacing w:line="248" w:lineRule="auto"/>
            </w:pPr>
          </w:p>
        </w:tc>
        <w:tc>
          <w:tcPr>
            <w:tcW w:w="9013" w:type="dxa"/>
            <w:tcBorders>
              <w:top w:val="single" w:sz="4" w:space="0" w:color="E2661A"/>
              <w:left w:val="single" w:sz="4" w:space="0" w:color="E2661A"/>
              <w:bottom w:val="single" w:sz="4" w:space="0" w:color="E2661A"/>
              <w:right w:val="single" w:sz="4" w:space="0" w:color="E2661A"/>
            </w:tcBorders>
            <w:shd w:val="clear" w:color="auto" w:fill="E2661A"/>
            <w:tcMar>
              <w:top w:w="60" w:type="dxa"/>
              <w:left w:w="130" w:type="dxa"/>
              <w:bottom w:w="60" w:type="dxa"/>
              <w:right w:w="110" w:type="dxa"/>
            </w:tcMar>
            <w:vAlign w:val="center"/>
          </w:tcPr>
          <w:p w14:paraId="3452E911" w14:textId="77777777" w:rsidR="002A4E4B" w:rsidRDefault="00000000">
            <w:pPr>
              <w:spacing w:line="248" w:lineRule="auto"/>
            </w:pPr>
            <w:r>
              <w:rPr>
                <w:b/>
                <w:bCs/>
                <w:color w:val="FFFFFF"/>
                <w:sz w:val="20"/>
                <w:szCs w:val="20"/>
              </w:rPr>
              <w:t>Rule</w:t>
            </w:r>
          </w:p>
        </w:tc>
      </w:tr>
      <w:tr w:rsidR="002A4E4B" w14:paraId="085965D1" w14:textId="77777777" w:rsidTr="00E70CD9">
        <w:tblPrEx>
          <w:tblBorders>
            <w:top w:val="single" w:sz="4" w:space="0" w:color="auto"/>
            <w:left w:val="single" w:sz="4" w:space="0" w:color="auto"/>
            <w:bottom w:val="single" w:sz="4" w:space="0" w:color="auto"/>
            <w:right w:val="single" w:sz="4" w:space="0" w:color="auto"/>
          </w:tblBorders>
          <w:tblCellMar>
            <w:top w:w="0" w:type="dxa"/>
            <w:bottom w:w="0" w:type="dxa"/>
          </w:tblCellMar>
        </w:tblPrEx>
        <w:trPr>
          <w:gridAfter w:val="1"/>
          <w:wAfter w:w="35" w:type="dxa"/>
          <w:cantSplit/>
        </w:trPr>
        <w:tc>
          <w:tcPr>
            <w:tcW w:w="698" w:type="dxa"/>
            <w:gridSpan w:val="3"/>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586F0693" w14:textId="77777777" w:rsidR="002A4E4B" w:rsidRDefault="00000000">
            <w:pPr>
              <w:spacing w:line="248" w:lineRule="auto"/>
              <w:jc w:val="center"/>
            </w:pPr>
            <w:r>
              <w:rPr>
                <w:b/>
                <w:bCs/>
                <w:sz w:val="20"/>
                <w:szCs w:val="20"/>
              </w:rPr>
              <w:t>1</w:t>
            </w:r>
          </w:p>
        </w:tc>
        <w:tc>
          <w:tcPr>
            <w:tcW w:w="901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365C2738" w14:textId="77777777" w:rsidR="002A4E4B" w:rsidRDefault="00000000">
            <w:pPr>
              <w:spacing w:line="248" w:lineRule="auto"/>
            </w:pPr>
            <w:r>
              <w:rPr>
                <w:b/>
                <w:bCs/>
                <w:sz w:val="20"/>
                <w:szCs w:val="20"/>
              </w:rPr>
              <w:t xml:space="preserve">Always examine the patient. </w:t>
            </w:r>
            <w:r>
              <w:rPr>
                <w:sz w:val="20"/>
                <w:szCs w:val="20"/>
              </w:rPr>
              <w:t>Examination is essential, and patients expect to be examined by their GP.</w:t>
            </w:r>
          </w:p>
        </w:tc>
      </w:tr>
      <w:tr w:rsidR="002A4E4B" w14:paraId="2B6BE865" w14:textId="77777777" w:rsidTr="00E70CD9">
        <w:tblPrEx>
          <w:tblBorders>
            <w:top w:val="single" w:sz="4" w:space="0" w:color="auto"/>
            <w:left w:val="single" w:sz="4" w:space="0" w:color="auto"/>
            <w:bottom w:val="single" w:sz="4" w:space="0" w:color="auto"/>
            <w:right w:val="single" w:sz="4" w:space="0" w:color="auto"/>
          </w:tblBorders>
          <w:tblCellMar>
            <w:top w:w="0" w:type="dxa"/>
            <w:bottom w:w="0" w:type="dxa"/>
          </w:tblCellMar>
        </w:tblPrEx>
        <w:trPr>
          <w:gridAfter w:val="1"/>
          <w:wAfter w:w="35" w:type="dxa"/>
          <w:cantSplit/>
        </w:trPr>
        <w:tc>
          <w:tcPr>
            <w:tcW w:w="698" w:type="dxa"/>
            <w:gridSpan w:val="3"/>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68A3A790" w14:textId="77777777" w:rsidR="002A4E4B" w:rsidRDefault="00000000">
            <w:pPr>
              <w:spacing w:line="248" w:lineRule="auto"/>
              <w:jc w:val="center"/>
            </w:pPr>
            <w:r>
              <w:rPr>
                <w:b/>
                <w:bCs/>
                <w:sz w:val="20"/>
                <w:szCs w:val="20"/>
              </w:rPr>
              <w:t>2</w:t>
            </w:r>
          </w:p>
        </w:tc>
        <w:tc>
          <w:tcPr>
            <w:tcW w:w="901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696038B2" w14:textId="77777777" w:rsidR="002A4E4B" w:rsidRDefault="00000000">
            <w:pPr>
              <w:spacing w:line="248" w:lineRule="auto"/>
            </w:pPr>
            <w:r>
              <w:rPr>
                <w:b/>
                <w:bCs/>
                <w:sz w:val="20"/>
                <w:szCs w:val="20"/>
              </w:rPr>
              <w:t xml:space="preserve">Expose the area </w:t>
            </w:r>
            <w:r>
              <w:rPr>
                <w:sz w:val="20"/>
                <w:szCs w:val="20"/>
              </w:rPr>
              <w:t>you are examining.</w:t>
            </w:r>
          </w:p>
        </w:tc>
      </w:tr>
      <w:tr w:rsidR="002A4E4B" w14:paraId="18C9B6E3" w14:textId="77777777" w:rsidTr="00E70CD9">
        <w:tblPrEx>
          <w:tblBorders>
            <w:top w:val="single" w:sz="4" w:space="0" w:color="auto"/>
            <w:left w:val="single" w:sz="4" w:space="0" w:color="auto"/>
            <w:bottom w:val="single" w:sz="4" w:space="0" w:color="auto"/>
            <w:right w:val="single" w:sz="4" w:space="0" w:color="auto"/>
          </w:tblBorders>
          <w:tblCellMar>
            <w:top w:w="0" w:type="dxa"/>
            <w:bottom w:w="0" w:type="dxa"/>
          </w:tblCellMar>
        </w:tblPrEx>
        <w:trPr>
          <w:gridAfter w:val="1"/>
          <w:wAfter w:w="35" w:type="dxa"/>
          <w:cantSplit/>
        </w:trPr>
        <w:tc>
          <w:tcPr>
            <w:tcW w:w="698" w:type="dxa"/>
            <w:gridSpan w:val="3"/>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65BF3B76" w14:textId="77777777" w:rsidR="002A4E4B" w:rsidRDefault="00000000">
            <w:pPr>
              <w:spacing w:line="248" w:lineRule="auto"/>
              <w:jc w:val="center"/>
            </w:pPr>
            <w:r>
              <w:rPr>
                <w:b/>
                <w:bCs/>
                <w:sz w:val="20"/>
                <w:szCs w:val="20"/>
              </w:rPr>
              <w:t>3</w:t>
            </w:r>
          </w:p>
        </w:tc>
        <w:tc>
          <w:tcPr>
            <w:tcW w:w="901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745916B9" w14:textId="77777777" w:rsidR="002A4E4B" w:rsidRDefault="00000000">
            <w:pPr>
              <w:spacing w:line="248" w:lineRule="auto"/>
            </w:pPr>
            <w:r>
              <w:rPr>
                <w:b/>
                <w:bCs/>
                <w:sz w:val="20"/>
                <w:szCs w:val="20"/>
              </w:rPr>
              <w:t xml:space="preserve">Look, Feel, </w:t>
            </w:r>
            <w:proofErr w:type="gramStart"/>
            <w:r>
              <w:rPr>
                <w:b/>
                <w:bCs/>
                <w:sz w:val="20"/>
                <w:szCs w:val="20"/>
              </w:rPr>
              <w:t>Move</w:t>
            </w:r>
            <w:proofErr w:type="gramEnd"/>
            <w:r>
              <w:rPr>
                <w:b/>
                <w:bCs/>
                <w:sz w:val="20"/>
                <w:szCs w:val="20"/>
              </w:rPr>
              <w:t xml:space="preserve"> </w:t>
            </w:r>
            <w:r>
              <w:rPr>
                <w:sz w:val="20"/>
                <w:szCs w:val="20"/>
              </w:rPr>
              <w:t>— active (patient moves), passive (you move it), resisted (against your resistance), ± special tests.</w:t>
            </w:r>
          </w:p>
        </w:tc>
      </w:tr>
      <w:tr w:rsidR="002A4E4B" w14:paraId="69DCA73B" w14:textId="77777777" w:rsidTr="00E70CD9">
        <w:tblPrEx>
          <w:tblBorders>
            <w:top w:val="single" w:sz="4" w:space="0" w:color="auto"/>
            <w:left w:val="single" w:sz="4" w:space="0" w:color="auto"/>
            <w:bottom w:val="single" w:sz="4" w:space="0" w:color="auto"/>
            <w:right w:val="single" w:sz="4" w:space="0" w:color="auto"/>
          </w:tblBorders>
          <w:tblCellMar>
            <w:top w:w="0" w:type="dxa"/>
            <w:bottom w:w="0" w:type="dxa"/>
          </w:tblCellMar>
        </w:tblPrEx>
        <w:trPr>
          <w:gridAfter w:val="1"/>
          <w:wAfter w:w="35" w:type="dxa"/>
          <w:cantSplit/>
        </w:trPr>
        <w:tc>
          <w:tcPr>
            <w:tcW w:w="698" w:type="dxa"/>
            <w:gridSpan w:val="3"/>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0D79E9BA" w14:textId="77777777" w:rsidR="002A4E4B" w:rsidRDefault="00000000">
            <w:pPr>
              <w:spacing w:line="248" w:lineRule="auto"/>
              <w:jc w:val="center"/>
            </w:pPr>
            <w:r>
              <w:rPr>
                <w:b/>
                <w:bCs/>
                <w:sz w:val="20"/>
                <w:szCs w:val="20"/>
              </w:rPr>
              <w:t>4</w:t>
            </w:r>
          </w:p>
        </w:tc>
        <w:tc>
          <w:tcPr>
            <w:tcW w:w="901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19082E15" w14:textId="77777777" w:rsidR="002A4E4B" w:rsidRDefault="00000000">
            <w:pPr>
              <w:spacing w:line="248" w:lineRule="auto"/>
            </w:pPr>
            <w:r>
              <w:rPr>
                <w:b/>
                <w:bCs/>
                <w:sz w:val="20"/>
                <w:szCs w:val="20"/>
              </w:rPr>
              <w:t xml:space="preserve">Screen the joint above and the joint below; </w:t>
            </w:r>
            <w:r>
              <w:rPr>
                <w:sz w:val="20"/>
                <w:szCs w:val="20"/>
              </w:rPr>
              <w:t>remember GALS — Gait, Arms, Legs, Spine.</w:t>
            </w:r>
          </w:p>
        </w:tc>
      </w:tr>
      <w:tr w:rsidR="002A4E4B" w14:paraId="1487006C" w14:textId="77777777" w:rsidTr="00E70CD9">
        <w:tblPrEx>
          <w:tblBorders>
            <w:top w:val="single" w:sz="4" w:space="0" w:color="auto"/>
            <w:left w:val="single" w:sz="4" w:space="0" w:color="auto"/>
            <w:bottom w:val="single" w:sz="4" w:space="0" w:color="auto"/>
            <w:right w:val="single" w:sz="4" w:space="0" w:color="auto"/>
          </w:tblBorders>
          <w:tblCellMar>
            <w:top w:w="0" w:type="dxa"/>
            <w:bottom w:w="0" w:type="dxa"/>
          </w:tblCellMar>
        </w:tblPrEx>
        <w:trPr>
          <w:gridAfter w:val="1"/>
          <w:wAfter w:w="35" w:type="dxa"/>
          <w:cantSplit/>
        </w:trPr>
        <w:tc>
          <w:tcPr>
            <w:tcW w:w="698" w:type="dxa"/>
            <w:gridSpan w:val="3"/>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510866D6" w14:textId="77777777" w:rsidR="002A4E4B" w:rsidRDefault="00000000">
            <w:pPr>
              <w:spacing w:line="248" w:lineRule="auto"/>
              <w:jc w:val="center"/>
            </w:pPr>
            <w:r>
              <w:rPr>
                <w:b/>
                <w:bCs/>
                <w:sz w:val="20"/>
                <w:szCs w:val="20"/>
              </w:rPr>
              <w:t>5</w:t>
            </w:r>
          </w:p>
        </w:tc>
        <w:tc>
          <w:tcPr>
            <w:tcW w:w="901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4A5E08DE" w14:textId="77777777" w:rsidR="002A4E4B" w:rsidRDefault="00000000">
            <w:pPr>
              <w:spacing w:line="248" w:lineRule="auto"/>
            </w:pPr>
            <w:r>
              <w:rPr>
                <w:b/>
                <w:bCs/>
                <w:sz w:val="20"/>
                <w:szCs w:val="20"/>
              </w:rPr>
              <w:t xml:space="preserve">Examine both sides </w:t>
            </w:r>
            <w:r>
              <w:rPr>
                <w:sz w:val="20"/>
                <w:szCs w:val="20"/>
              </w:rPr>
              <w:t>to compare.</w:t>
            </w:r>
          </w:p>
        </w:tc>
      </w:tr>
      <w:tr w:rsidR="002A4E4B" w14:paraId="63C3A39E" w14:textId="77777777" w:rsidTr="00E70CD9">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rPr>
          <w:gridAfter w:val="1"/>
          <w:wAfter w:w="35" w:type="dxa"/>
        </w:trPr>
        <w:tc>
          <w:tcPr>
            <w:tcW w:w="60" w:type="dxa"/>
            <w:gridSpan w:val="2"/>
            <w:shd w:val="clear" w:color="auto" w:fill="E2661A"/>
            <w:tcMar>
              <w:top w:w="0" w:type="dxa"/>
              <w:left w:w="0" w:type="dxa"/>
              <w:bottom w:w="0" w:type="dxa"/>
              <w:right w:w="0" w:type="dxa"/>
            </w:tcMar>
          </w:tcPr>
          <w:p w14:paraId="1A27E58F" w14:textId="77777777" w:rsidR="00E70CD9" w:rsidRDefault="00E70CD9"/>
        </w:tc>
        <w:tc>
          <w:tcPr>
            <w:tcW w:w="9651" w:type="dxa"/>
            <w:gridSpan w:val="2"/>
            <w:shd w:val="clear" w:color="auto" w:fill="F4F6F8"/>
            <w:tcMar>
              <w:top w:w="70" w:type="dxa"/>
              <w:left w:w="150" w:type="dxa"/>
              <w:bottom w:w="70" w:type="dxa"/>
              <w:right w:w="120" w:type="dxa"/>
            </w:tcMar>
            <w:vAlign w:val="center"/>
          </w:tcPr>
          <w:p w14:paraId="079E6CE1" w14:textId="77777777" w:rsidR="002A4E4B" w:rsidRDefault="00000000">
            <w:pPr>
              <w:spacing w:line="252" w:lineRule="auto"/>
            </w:pPr>
            <w:r>
              <w:rPr>
                <w:b/>
                <w:bCs/>
                <w:color w:val="21303D"/>
                <w:sz w:val="27"/>
                <w:szCs w:val="27"/>
              </w:rPr>
              <w:t xml:space="preserve">Communicate </w:t>
            </w:r>
            <w:proofErr w:type="gramStart"/>
            <w:r>
              <w:rPr>
                <w:b/>
                <w:bCs/>
                <w:color w:val="21303D"/>
                <w:sz w:val="27"/>
                <w:szCs w:val="27"/>
              </w:rPr>
              <w:t>well  ·</w:t>
            </w:r>
            <w:proofErr w:type="gramEnd"/>
            <w:r>
              <w:rPr>
                <w:b/>
                <w:bCs/>
                <w:color w:val="21303D"/>
                <w:sz w:val="27"/>
                <w:szCs w:val="27"/>
              </w:rPr>
              <w:t xml:space="preserve">  Words that heal or harm</w:t>
            </w:r>
          </w:p>
        </w:tc>
      </w:tr>
      <w:tr w:rsidR="002A4E4B" w14:paraId="737F9B7C" w14:textId="77777777" w:rsidTr="00E70CD9">
        <w:tblPrEx>
          <w:tblBorders>
            <w:top w:val="single" w:sz="2" w:space="0" w:color="D34747"/>
            <w:left w:val="single" w:sz="28" w:space="0" w:color="D34747"/>
            <w:bottom w:val="single" w:sz="2" w:space="0" w:color="D34747"/>
            <w:right w:val="single" w:sz="2" w:space="0" w:color="D34747"/>
          </w:tblBorders>
          <w:tblCellMar>
            <w:top w:w="0" w:type="dxa"/>
            <w:bottom w:w="0" w:type="dxa"/>
          </w:tblCellMar>
        </w:tblPrEx>
        <w:trPr>
          <w:gridBefore w:val="1"/>
          <w:wBefore w:w="35" w:type="dxa"/>
          <w:cantSplit/>
        </w:trPr>
        <w:tc>
          <w:tcPr>
            <w:tcW w:w="9711" w:type="dxa"/>
            <w:gridSpan w:val="4"/>
            <w:shd w:val="clear" w:color="auto" w:fill="FBEAEA"/>
            <w:tcMar>
              <w:top w:w="110" w:type="dxa"/>
              <w:left w:w="200" w:type="dxa"/>
              <w:bottom w:w="110" w:type="dxa"/>
              <w:right w:w="160" w:type="dxa"/>
            </w:tcMar>
          </w:tcPr>
          <w:p w14:paraId="6368C0DC" w14:textId="77777777" w:rsidR="002A4E4B" w:rsidRDefault="00000000">
            <w:pPr>
              <w:spacing w:after="70" w:line="248" w:lineRule="auto"/>
            </w:pPr>
            <w:proofErr w:type="gramStart"/>
            <w:r>
              <w:rPr>
                <w:b/>
                <w:bCs/>
                <w:color w:val="B02A2A"/>
              </w:rPr>
              <w:t>▲  Avoid</w:t>
            </w:r>
            <w:proofErr w:type="gramEnd"/>
            <w:r>
              <w:rPr>
                <w:b/>
                <w:bCs/>
                <w:color w:val="B02A2A"/>
              </w:rPr>
              <w:t xml:space="preserve"> creating a 'disability mindset'</w:t>
            </w:r>
          </w:p>
          <w:p w14:paraId="44BB974E" w14:textId="77777777" w:rsidR="002A4E4B" w:rsidRDefault="00000000">
            <w:pPr>
              <w:pStyle w:val="ListParagraph"/>
              <w:numPr>
                <w:ilvl w:val="0"/>
                <w:numId w:val="2"/>
              </w:numPr>
              <w:spacing w:after="50" w:line="248" w:lineRule="auto"/>
            </w:pPr>
            <w:r>
              <w:rPr>
                <w:b/>
                <w:bCs/>
              </w:rPr>
              <w:t xml:space="preserve">Don't </w:t>
            </w:r>
            <w:proofErr w:type="spellStart"/>
            <w:r>
              <w:rPr>
                <w:b/>
                <w:bCs/>
              </w:rPr>
              <w:t>dramatise</w:t>
            </w:r>
            <w:proofErr w:type="spellEnd"/>
            <w:r>
              <w:rPr>
                <w:b/>
                <w:bCs/>
              </w:rPr>
              <w:t xml:space="preserve"> imaging. </w:t>
            </w:r>
            <w:r>
              <w:t>Imaging findings correlate poorly with symptoms — many painful joints look normal, and many normal-feeling joints look worn. Telling someone their scan is 'terrible' raises anxiety and disability.</w:t>
            </w:r>
          </w:p>
          <w:p w14:paraId="6BA86DF0" w14:textId="77777777" w:rsidR="002A4E4B" w:rsidRDefault="00000000">
            <w:pPr>
              <w:pStyle w:val="ListParagraph"/>
              <w:numPr>
                <w:ilvl w:val="0"/>
                <w:numId w:val="2"/>
              </w:numPr>
              <w:spacing w:after="50" w:line="248" w:lineRule="auto"/>
            </w:pPr>
            <w:r>
              <w:rPr>
                <w:b/>
                <w:bCs/>
              </w:rPr>
              <w:t xml:space="preserve">Avoid words like 'worn out', 'crumbling', 'bone-on-bone'. </w:t>
            </w:r>
            <w:r>
              <w:t>How would you feel if told a part of your house was crumbling?</w:t>
            </w:r>
          </w:p>
          <w:p w14:paraId="378E91E4" w14:textId="77777777" w:rsidR="002A4E4B" w:rsidRDefault="00000000">
            <w:pPr>
              <w:pStyle w:val="ListParagraph"/>
              <w:numPr>
                <w:ilvl w:val="0"/>
                <w:numId w:val="2"/>
              </w:numPr>
              <w:spacing w:line="248" w:lineRule="auto"/>
            </w:pPr>
            <w:r>
              <w:rPr>
                <w:b/>
                <w:bCs/>
              </w:rPr>
              <w:t xml:space="preserve">OA is 'wear and repair', not 'wear and tear'. </w:t>
            </w:r>
            <w:r>
              <w:t>The joint is actively trying to heal; we help by building the surrounding muscle. OA is not inevitably progressive — for example, knee OA pain often improves, and many people never develop progressive disease.</w:t>
            </w:r>
          </w:p>
        </w:tc>
      </w:tr>
      <w:tr w:rsidR="002A4E4B" w14:paraId="21FDA0FD" w14:textId="77777777" w:rsidTr="00E70CD9">
        <w:tblPrEx>
          <w:tblCellMar>
            <w:top w:w="0" w:type="dxa"/>
            <w:bottom w:w="0" w:type="dxa"/>
          </w:tblCellMar>
        </w:tblPrEx>
        <w:trPr>
          <w:gridBefore w:val="1"/>
          <w:wBefore w:w="35" w:type="dxa"/>
          <w:cantSplit/>
        </w:trPr>
        <w:tc>
          <w:tcPr>
            <w:tcW w:w="9711" w:type="dxa"/>
            <w:gridSpan w:val="4"/>
            <w:shd w:val="clear" w:color="auto" w:fill="E8F5EC"/>
            <w:tcMar>
              <w:top w:w="110" w:type="dxa"/>
              <w:left w:w="200" w:type="dxa"/>
              <w:bottom w:w="110" w:type="dxa"/>
              <w:right w:w="160" w:type="dxa"/>
            </w:tcMar>
          </w:tcPr>
          <w:p w14:paraId="017CE514" w14:textId="77777777" w:rsidR="002A4E4B" w:rsidRDefault="00000000">
            <w:pPr>
              <w:spacing w:after="70" w:line="248" w:lineRule="auto"/>
            </w:pPr>
            <w:proofErr w:type="gramStart"/>
            <w:r>
              <w:rPr>
                <w:b/>
                <w:bCs/>
                <w:color w:val="1E7A40"/>
              </w:rPr>
              <w:t>◎  Prescribe</w:t>
            </w:r>
            <w:proofErr w:type="gramEnd"/>
            <w:r>
              <w:rPr>
                <w:b/>
                <w:bCs/>
                <w:color w:val="1E7A40"/>
              </w:rPr>
              <w:t xml:space="preserve"> movement the patient will </w:t>
            </w:r>
            <w:proofErr w:type="gramStart"/>
            <w:r>
              <w:rPr>
                <w:b/>
                <w:bCs/>
                <w:color w:val="1E7A40"/>
              </w:rPr>
              <w:t>actually do</w:t>
            </w:r>
            <w:proofErr w:type="gramEnd"/>
          </w:p>
          <w:p w14:paraId="2F6CDBA7" w14:textId="77777777" w:rsidR="002A4E4B" w:rsidRDefault="00000000">
            <w:pPr>
              <w:pStyle w:val="ListParagraph"/>
              <w:numPr>
                <w:ilvl w:val="0"/>
                <w:numId w:val="3"/>
              </w:numPr>
              <w:spacing w:after="50" w:line="248" w:lineRule="auto"/>
            </w:pPr>
            <w:r>
              <w:rPr>
                <w:b/>
                <w:bCs/>
              </w:rPr>
              <w:t xml:space="preserve">Don't hand over a generic exercise sheet. </w:t>
            </w:r>
            <w:r>
              <w:t>Offer a few options and ask which they could realistically manage — the best exercise is the one the patient will do.</w:t>
            </w:r>
          </w:p>
          <w:p w14:paraId="7E334FA9" w14:textId="77777777" w:rsidR="002A4E4B" w:rsidRDefault="00000000">
            <w:pPr>
              <w:pStyle w:val="ListParagraph"/>
              <w:numPr>
                <w:ilvl w:val="0"/>
                <w:numId w:val="3"/>
              </w:numPr>
              <w:spacing w:after="50" w:line="248" w:lineRule="auto"/>
            </w:pPr>
            <w:r>
              <w:rPr>
                <w:b/>
                <w:bCs/>
              </w:rPr>
              <w:t xml:space="preserve">Encourage weight loss and activity </w:t>
            </w:r>
            <w:r>
              <w:t>for ankle, knee and hip OA.</w:t>
            </w:r>
          </w:p>
          <w:p w14:paraId="1184025E" w14:textId="77777777" w:rsidR="002A4E4B" w:rsidRDefault="00000000">
            <w:pPr>
              <w:pStyle w:val="ListParagraph"/>
              <w:numPr>
                <w:ilvl w:val="0"/>
                <w:numId w:val="3"/>
              </w:numPr>
              <w:spacing w:after="50" w:line="248" w:lineRule="auto"/>
            </w:pPr>
            <w:r>
              <w:rPr>
                <w:b/>
                <w:bCs/>
              </w:rPr>
              <w:t xml:space="preserve">Screen for and treat depression </w:t>
            </w:r>
            <w:r>
              <w:t>— persistent pain wears people down.</w:t>
            </w:r>
          </w:p>
          <w:p w14:paraId="105B84AD" w14:textId="77777777" w:rsidR="002A4E4B" w:rsidRDefault="00000000">
            <w:pPr>
              <w:pStyle w:val="ListParagraph"/>
              <w:numPr>
                <w:ilvl w:val="0"/>
                <w:numId w:val="3"/>
              </w:numPr>
              <w:spacing w:line="248" w:lineRule="auto"/>
            </w:pPr>
            <w:r>
              <w:rPr>
                <w:b/>
                <w:bCs/>
              </w:rPr>
              <w:t xml:space="preserve">Review the diagnosis </w:t>
            </w:r>
            <w:r>
              <w:t>at follow-up if things are not improving.</w:t>
            </w:r>
          </w:p>
        </w:tc>
      </w:tr>
    </w:tbl>
    <w:p w14:paraId="263889F4" w14:textId="77777777" w:rsidR="00E70CD9" w:rsidRDefault="00E70CD9">
      <w:r>
        <w:br w:type="page"/>
      </w:r>
    </w:p>
    <w:tbl>
      <w:tblPr>
        <w:tblW w:w="9746" w:type="dxa"/>
        <w:tblInd w:w="-35"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60"/>
        <w:gridCol w:w="9686"/>
      </w:tblGrid>
      <w:tr w:rsidR="002A4E4B" w14:paraId="6DCBEB7C" w14:textId="77777777">
        <w:tblPrEx>
          <w:tblCellMar>
            <w:top w:w="0" w:type="dxa"/>
            <w:bottom w:w="0" w:type="dxa"/>
          </w:tblCellMar>
        </w:tblPrEx>
        <w:tc>
          <w:tcPr>
            <w:tcW w:w="60" w:type="dxa"/>
            <w:shd w:val="clear" w:color="auto" w:fill="E2661A"/>
            <w:tcMar>
              <w:top w:w="0" w:type="dxa"/>
              <w:left w:w="0" w:type="dxa"/>
              <w:bottom w:w="0" w:type="dxa"/>
              <w:right w:w="0" w:type="dxa"/>
            </w:tcMar>
          </w:tcPr>
          <w:p w14:paraId="1A15CFF9" w14:textId="24E5FD70" w:rsidR="002A4E4B" w:rsidRDefault="002A4E4B"/>
        </w:tc>
        <w:tc>
          <w:tcPr>
            <w:tcW w:w="9686" w:type="dxa"/>
            <w:shd w:val="clear" w:color="auto" w:fill="F4F6F8"/>
            <w:tcMar>
              <w:top w:w="70" w:type="dxa"/>
              <w:left w:w="150" w:type="dxa"/>
              <w:bottom w:w="70" w:type="dxa"/>
              <w:right w:w="120" w:type="dxa"/>
            </w:tcMar>
            <w:vAlign w:val="center"/>
          </w:tcPr>
          <w:p w14:paraId="51D83090" w14:textId="77777777" w:rsidR="002A4E4B" w:rsidRDefault="00000000">
            <w:pPr>
              <w:spacing w:line="252" w:lineRule="auto"/>
            </w:pPr>
            <w:r>
              <w:rPr>
                <w:b/>
                <w:bCs/>
                <w:color w:val="21303D"/>
                <w:sz w:val="27"/>
                <w:szCs w:val="27"/>
              </w:rPr>
              <w:t>Keep people at work</w:t>
            </w:r>
          </w:p>
        </w:tc>
      </w:tr>
    </w:tbl>
    <w:p w14:paraId="4315F8D2" w14:textId="77777777" w:rsidR="002A4E4B" w:rsidRDefault="00000000">
      <w:pPr>
        <w:spacing w:after="120" w:line="264" w:lineRule="auto"/>
      </w:pPr>
      <w:r>
        <w:t xml:space="preserve">The longer someone is off work, the more likely a disability mindset takes hold and prevents return. </w:t>
      </w:r>
      <w:r>
        <w:rPr>
          <w:b/>
          <w:bCs/>
        </w:rPr>
        <w:t>You do not have to be 100% better to go back.</w:t>
      </w:r>
      <w:r>
        <w:t xml:space="preserve"> Use the fit note to signpost what the patient can do.</w:t>
      </w:r>
    </w:p>
    <w:tbl>
      <w:tblPr>
        <w:tblW w:w="9746" w:type="dxa"/>
        <w:tblInd w:w="-35" w:type="dxa"/>
        <w:tblBorders>
          <w:top w:val="single" w:sz="2" w:space="0" w:color="2E75B6"/>
          <w:left w:val="single" w:sz="28" w:space="0" w:color="2E75B6"/>
          <w:bottom w:val="single" w:sz="2" w:space="0" w:color="2E75B6"/>
          <w:right w:val="single" w:sz="2" w:space="0" w:color="2E75B6"/>
          <w:insideH w:val="single" w:sz="4" w:space="0" w:color="auto"/>
          <w:insideV w:val="single" w:sz="4" w:space="0" w:color="auto"/>
        </w:tblBorders>
        <w:tblCellMar>
          <w:left w:w="10" w:type="dxa"/>
          <w:right w:w="10" w:type="dxa"/>
        </w:tblCellMar>
        <w:tblLook w:val="0000" w:firstRow="0" w:lastRow="0" w:firstColumn="0" w:lastColumn="0" w:noHBand="0" w:noVBand="0"/>
      </w:tblPr>
      <w:tblGrid>
        <w:gridCol w:w="35"/>
        <w:gridCol w:w="25"/>
        <w:gridCol w:w="9651"/>
        <w:gridCol w:w="35"/>
      </w:tblGrid>
      <w:tr w:rsidR="002A4E4B" w14:paraId="23F2F9B6" w14:textId="77777777">
        <w:tblPrEx>
          <w:tblCellMar>
            <w:top w:w="0" w:type="dxa"/>
            <w:bottom w:w="0" w:type="dxa"/>
          </w:tblCellMar>
        </w:tblPrEx>
        <w:trPr>
          <w:gridBefore w:val="1"/>
          <w:wBefore w:w="35" w:type="dxa"/>
          <w:cantSplit/>
        </w:trPr>
        <w:tc>
          <w:tcPr>
            <w:tcW w:w="9746" w:type="dxa"/>
            <w:gridSpan w:val="3"/>
            <w:shd w:val="clear" w:color="auto" w:fill="E9F1FB"/>
            <w:tcMar>
              <w:top w:w="110" w:type="dxa"/>
              <w:left w:w="200" w:type="dxa"/>
              <w:bottom w:w="110" w:type="dxa"/>
              <w:right w:w="160" w:type="dxa"/>
            </w:tcMar>
          </w:tcPr>
          <w:p w14:paraId="3CF76509" w14:textId="77777777" w:rsidR="002A4E4B" w:rsidRDefault="00000000">
            <w:pPr>
              <w:spacing w:after="70" w:line="248" w:lineRule="auto"/>
            </w:pPr>
            <w:proofErr w:type="gramStart"/>
            <w:r>
              <w:rPr>
                <w:b/>
                <w:bCs/>
                <w:color w:val="1F5C95"/>
              </w:rPr>
              <w:t>▸  Questions</w:t>
            </w:r>
            <w:proofErr w:type="gramEnd"/>
            <w:r>
              <w:rPr>
                <w:b/>
                <w:bCs/>
                <w:color w:val="1F5C95"/>
              </w:rPr>
              <w:t xml:space="preserve"> that </w:t>
            </w:r>
            <w:proofErr w:type="gramStart"/>
            <w:r>
              <w:rPr>
                <w:b/>
                <w:bCs/>
                <w:color w:val="1F5C95"/>
              </w:rPr>
              <w:t>open up</w:t>
            </w:r>
            <w:proofErr w:type="gramEnd"/>
            <w:r>
              <w:rPr>
                <w:b/>
                <w:bCs/>
                <w:color w:val="1F5C95"/>
              </w:rPr>
              <w:t xml:space="preserve"> a return to work</w:t>
            </w:r>
          </w:p>
          <w:p w14:paraId="79EBCE73" w14:textId="77777777" w:rsidR="002A4E4B" w:rsidRDefault="00000000">
            <w:pPr>
              <w:pStyle w:val="ListParagraph"/>
              <w:numPr>
                <w:ilvl w:val="0"/>
                <w:numId w:val="4"/>
              </w:numPr>
              <w:spacing w:after="50" w:line="248" w:lineRule="auto"/>
            </w:pPr>
            <w:r>
              <w:t>When do you think you could get back to work?</w:t>
            </w:r>
          </w:p>
          <w:p w14:paraId="665C1D38" w14:textId="77777777" w:rsidR="002A4E4B" w:rsidRDefault="00000000">
            <w:pPr>
              <w:pStyle w:val="ListParagraph"/>
              <w:numPr>
                <w:ilvl w:val="0"/>
                <w:numId w:val="4"/>
              </w:numPr>
              <w:spacing w:after="50" w:line="248" w:lineRule="auto"/>
            </w:pPr>
            <w:r>
              <w:t>What could be done at work to help? Describe the activities your job involves.</w:t>
            </w:r>
          </w:p>
          <w:p w14:paraId="76D9C887" w14:textId="77777777" w:rsidR="002A4E4B" w:rsidRDefault="00000000">
            <w:pPr>
              <w:pStyle w:val="ListParagraph"/>
              <w:numPr>
                <w:ilvl w:val="0"/>
                <w:numId w:val="4"/>
              </w:numPr>
              <w:spacing w:after="50" w:line="248" w:lineRule="auto"/>
            </w:pPr>
            <w:r>
              <w:t>Which tasks could you manage now — and which once we control your pain?</w:t>
            </w:r>
          </w:p>
          <w:p w14:paraId="1BEEE56C" w14:textId="77777777" w:rsidR="002A4E4B" w:rsidRDefault="00000000">
            <w:pPr>
              <w:pStyle w:val="ListParagraph"/>
              <w:numPr>
                <w:ilvl w:val="0"/>
                <w:numId w:val="4"/>
              </w:numPr>
              <w:spacing w:after="50" w:line="248" w:lineRule="auto"/>
            </w:pPr>
            <w:r>
              <w:t>How about speaking to your employer about amended duties? I can write a note to help explain that.</w:t>
            </w:r>
          </w:p>
          <w:p w14:paraId="36E415CF" w14:textId="77777777" w:rsidR="002A4E4B" w:rsidRDefault="00000000">
            <w:pPr>
              <w:pStyle w:val="ListParagraph"/>
              <w:numPr>
                <w:ilvl w:val="0"/>
                <w:numId w:val="4"/>
              </w:numPr>
              <w:spacing w:after="50" w:line="248" w:lineRule="auto"/>
            </w:pPr>
            <w:r>
              <w:t>Do you have access to occupational health at work?</w:t>
            </w:r>
          </w:p>
          <w:p w14:paraId="67257B2A" w14:textId="77777777" w:rsidR="002A4E4B" w:rsidRDefault="00000000">
            <w:pPr>
              <w:spacing w:line="252" w:lineRule="auto"/>
            </w:pPr>
            <w:r>
              <w:rPr>
                <w:b/>
                <w:bCs/>
              </w:rPr>
              <w:t xml:space="preserve">Bust the myth gently: </w:t>
            </w:r>
            <w:r>
              <w:t>even part-time work beats none, and the worker usually knows best what adjustments they need.</w:t>
            </w:r>
          </w:p>
        </w:tc>
      </w:tr>
      <w:tr w:rsidR="002A4E4B" w14:paraId="33DF2DE1" w14:textId="77777777">
        <w:tblPrEx>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top w:w="0" w:type="dxa"/>
            <w:bottom w:w="0" w:type="dxa"/>
          </w:tblCellMar>
        </w:tblPrEx>
        <w:trPr>
          <w:gridAfter w:val="1"/>
          <w:wAfter w:w="35" w:type="dxa"/>
        </w:trPr>
        <w:tc>
          <w:tcPr>
            <w:tcW w:w="60" w:type="dxa"/>
            <w:gridSpan w:val="2"/>
            <w:shd w:val="clear" w:color="auto" w:fill="E2661A"/>
            <w:tcMar>
              <w:top w:w="0" w:type="dxa"/>
              <w:left w:w="0" w:type="dxa"/>
              <w:bottom w:w="0" w:type="dxa"/>
              <w:right w:w="0" w:type="dxa"/>
            </w:tcMar>
          </w:tcPr>
          <w:p w14:paraId="3B6293D5" w14:textId="77777777" w:rsidR="002A4E4B" w:rsidRDefault="002A4E4B"/>
        </w:tc>
        <w:tc>
          <w:tcPr>
            <w:tcW w:w="9686" w:type="dxa"/>
            <w:shd w:val="clear" w:color="auto" w:fill="F4F6F8"/>
            <w:tcMar>
              <w:top w:w="70" w:type="dxa"/>
              <w:left w:w="150" w:type="dxa"/>
              <w:bottom w:w="70" w:type="dxa"/>
              <w:right w:w="120" w:type="dxa"/>
            </w:tcMar>
            <w:vAlign w:val="center"/>
          </w:tcPr>
          <w:p w14:paraId="4FCE2E9D" w14:textId="77777777" w:rsidR="002A4E4B" w:rsidRDefault="00000000">
            <w:pPr>
              <w:spacing w:line="252" w:lineRule="auto"/>
            </w:pPr>
            <w:r>
              <w:rPr>
                <w:b/>
                <w:bCs/>
                <w:color w:val="21303D"/>
                <w:sz w:val="27"/>
                <w:szCs w:val="27"/>
              </w:rPr>
              <w:t xml:space="preserve">Motivate </w:t>
            </w:r>
            <w:proofErr w:type="gramStart"/>
            <w:r>
              <w:rPr>
                <w:b/>
                <w:bCs/>
                <w:color w:val="21303D"/>
                <w:sz w:val="27"/>
                <w:szCs w:val="27"/>
              </w:rPr>
              <w:t>change  ·</w:t>
            </w:r>
            <w:proofErr w:type="gramEnd"/>
            <w:r>
              <w:rPr>
                <w:b/>
                <w:bCs/>
                <w:color w:val="21303D"/>
                <w:sz w:val="27"/>
                <w:szCs w:val="27"/>
              </w:rPr>
              <w:t xml:space="preserve">  Motivational interviewing</w:t>
            </w:r>
          </w:p>
        </w:tc>
      </w:tr>
    </w:tbl>
    <w:p w14:paraId="13EFD959" w14:textId="77777777" w:rsidR="002A4E4B" w:rsidRDefault="00000000">
      <w:pPr>
        <w:spacing w:after="120" w:line="264" w:lineRule="auto"/>
      </w:pPr>
      <w:r>
        <w:t>Much resistance is created by the way we talk. Telling people what to do invites push-back; helping them reach the conclusion themselves mobilises change. The contrast below makes the point.</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873"/>
        <w:gridCol w:w="4873"/>
      </w:tblGrid>
      <w:tr w:rsidR="002A4E4B" w14:paraId="7A8C61ED" w14:textId="77777777">
        <w:tblPrEx>
          <w:tblCellMar>
            <w:top w:w="0" w:type="dxa"/>
            <w:bottom w:w="0" w:type="dxa"/>
          </w:tblCellMar>
        </w:tblPrEx>
        <w:trPr>
          <w:cantSplit/>
          <w:tblHeader/>
        </w:trPr>
        <w:tc>
          <w:tcPr>
            <w:tcW w:w="4873" w:type="dxa"/>
            <w:tcBorders>
              <w:top w:val="single" w:sz="4" w:space="0" w:color="E2661A"/>
              <w:left w:val="single" w:sz="4" w:space="0" w:color="E2661A"/>
              <w:bottom w:val="single" w:sz="4" w:space="0" w:color="E2661A"/>
              <w:right w:val="single" w:sz="4" w:space="0" w:color="E2661A"/>
            </w:tcBorders>
            <w:shd w:val="clear" w:color="auto" w:fill="E2661A"/>
            <w:tcMar>
              <w:top w:w="60" w:type="dxa"/>
              <w:left w:w="130" w:type="dxa"/>
              <w:bottom w:w="60" w:type="dxa"/>
              <w:right w:w="110" w:type="dxa"/>
            </w:tcMar>
            <w:vAlign w:val="center"/>
          </w:tcPr>
          <w:p w14:paraId="7371DF2E" w14:textId="77777777" w:rsidR="002A4E4B" w:rsidRDefault="00000000">
            <w:pPr>
              <w:spacing w:line="248" w:lineRule="auto"/>
            </w:pPr>
            <w:r>
              <w:rPr>
                <w:b/>
                <w:bCs/>
                <w:color w:val="FFFFFF"/>
                <w:sz w:val="20"/>
                <w:szCs w:val="20"/>
              </w:rPr>
              <w:t>The 'righting reflex' (tends to fail)</w:t>
            </w:r>
          </w:p>
        </w:tc>
        <w:tc>
          <w:tcPr>
            <w:tcW w:w="4873" w:type="dxa"/>
            <w:tcBorders>
              <w:top w:val="single" w:sz="4" w:space="0" w:color="E2661A"/>
              <w:left w:val="single" w:sz="4" w:space="0" w:color="E2661A"/>
              <w:bottom w:val="single" w:sz="4" w:space="0" w:color="E2661A"/>
              <w:right w:val="single" w:sz="4" w:space="0" w:color="E2661A"/>
            </w:tcBorders>
            <w:shd w:val="clear" w:color="auto" w:fill="E2661A"/>
            <w:tcMar>
              <w:top w:w="60" w:type="dxa"/>
              <w:left w:w="130" w:type="dxa"/>
              <w:bottom w:w="60" w:type="dxa"/>
              <w:right w:w="110" w:type="dxa"/>
            </w:tcMar>
            <w:vAlign w:val="center"/>
          </w:tcPr>
          <w:p w14:paraId="728BDC39" w14:textId="77777777" w:rsidR="002A4E4B" w:rsidRDefault="00000000">
            <w:pPr>
              <w:spacing w:line="248" w:lineRule="auto"/>
            </w:pPr>
            <w:r>
              <w:rPr>
                <w:b/>
                <w:bCs/>
                <w:color w:val="FFFFFF"/>
                <w:sz w:val="20"/>
                <w:szCs w:val="20"/>
              </w:rPr>
              <w:t>Rolling with resistance (tends to work)</w:t>
            </w:r>
          </w:p>
        </w:tc>
      </w:tr>
      <w:tr w:rsidR="002A4E4B" w14:paraId="38AE2737"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7695BE99" w14:textId="77777777" w:rsidR="002A4E4B" w:rsidRDefault="00000000">
            <w:pPr>
              <w:spacing w:line="248" w:lineRule="auto"/>
            </w:pPr>
            <w:r>
              <w:rPr>
                <w:sz w:val="20"/>
                <w:szCs w:val="20"/>
              </w:rPr>
              <w:t>Dr: “You really should exercise and lose weight — it'll help your joints.”</w:t>
            </w:r>
          </w:p>
        </w:tc>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69BDFD5F" w14:textId="77777777" w:rsidR="002A4E4B" w:rsidRDefault="00000000">
            <w:pPr>
              <w:spacing w:line="248" w:lineRule="auto"/>
            </w:pPr>
            <w:r>
              <w:rPr>
                <w:sz w:val="20"/>
                <w:szCs w:val="20"/>
              </w:rPr>
              <w:t>Dr: “It seems you're not keen on losing weight to help your joints. Can you help me understand why?”</w:t>
            </w:r>
          </w:p>
        </w:tc>
      </w:tr>
      <w:tr w:rsidR="002A4E4B" w14:paraId="6AD6343A"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0C232C92" w14:textId="77777777" w:rsidR="002A4E4B" w:rsidRDefault="00000000">
            <w:pPr>
              <w:spacing w:line="248" w:lineRule="auto"/>
            </w:pPr>
            <w:r>
              <w:rPr>
                <w:sz w:val="20"/>
                <w:szCs w:val="20"/>
              </w:rPr>
              <w:t>Dr: “Your joints will suffer if you don't. It's up to you.”</w:t>
            </w:r>
          </w:p>
        </w:tc>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3C718A5F" w14:textId="77777777" w:rsidR="002A4E4B" w:rsidRDefault="00000000">
            <w:pPr>
              <w:spacing w:line="248" w:lineRule="auto"/>
            </w:pPr>
            <w:r>
              <w:rPr>
                <w:sz w:val="20"/>
                <w:szCs w:val="20"/>
              </w:rPr>
              <w:t>Dr: “Can I explain something about weight I'm not sure I explained well?” … “What are your thoughts now you've heard that?”</w:t>
            </w:r>
          </w:p>
        </w:tc>
      </w:tr>
      <w:tr w:rsidR="002A4E4B" w14:paraId="3D2E4A14"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369E8D7B" w14:textId="77777777" w:rsidR="002A4E4B" w:rsidRDefault="00000000">
            <w:pPr>
              <w:spacing w:line="248" w:lineRule="auto"/>
            </w:pPr>
            <w:r>
              <w:rPr>
                <w:sz w:val="20"/>
                <w:szCs w:val="20"/>
              </w:rPr>
              <w:t>Pt feels belittled → unlikely to change.</w:t>
            </w:r>
          </w:p>
        </w:tc>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7BA67D9F" w14:textId="77777777" w:rsidR="002A4E4B" w:rsidRDefault="00000000">
            <w:pPr>
              <w:spacing w:line="248" w:lineRule="auto"/>
            </w:pPr>
            <w:r>
              <w:rPr>
                <w:sz w:val="20"/>
                <w:szCs w:val="20"/>
              </w:rPr>
              <w:t>Pt reaches ambivalence → “I'll think about it.” — the door is open.</w:t>
            </w:r>
          </w:p>
        </w:tc>
      </w:tr>
    </w:tbl>
    <w:p w14:paraId="33DCAAEC" w14:textId="77777777" w:rsidR="002A4E4B" w:rsidRDefault="00000000">
      <w:pPr>
        <w:spacing w:before="40" w:after="120" w:line="264" w:lineRule="auto"/>
      </w:pPr>
      <w:r>
        <w:t xml:space="preserve">You will rarely change someone in a single consultation. </w:t>
      </w:r>
      <w:r>
        <w:rPr>
          <w:b/>
          <w:bCs/>
        </w:rPr>
        <w:t>Aim to move 'no' to 'unsure', then 'unsure' towards action over time — through genuine, non-confrontational, two-way conversation. Let the patient do the maths.</w:t>
      </w:r>
    </w:p>
    <w:p w14:paraId="3395E86A" w14:textId="77777777" w:rsidR="002A4E4B" w:rsidRDefault="00000000">
      <w:pPr>
        <w:keepNext/>
        <w:keepLines/>
        <w:spacing w:before="200" w:after="90" w:line="252" w:lineRule="auto"/>
      </w:pPr>
      <w:r>
        <w:rPr>
          <w:color w:val="E2661A"/>
          <w:sz w:val="24"/>
          <w:szCs w:val="24"/>
        </w:rPr>
        <w:t>▍</w:t>
      </w:r>
      <w:r>
        <w:rPr>
          <w:b/>
          <w:bCs/>
          <w:color w:val="21303D"/>
          <w:sz w:val="23"/>
          <w:szCs w:val="23"/>
        </w:rPr>
        <w:t xml:space="preserve"> Key principles &amp; practical points</w:t>
      </w:r>
    </w:p>
    <w:tbl>
      <w:tblPr>
        <w:tblW w:w="97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4873"/>
        <w:gridCol w:w="4873"/>
      </w:tblGrid>
      <w:tr w:rsidR="002A4E4B" w14:paraId="27FB350A" w14:textId="77777777">
        <w:tblPrEx>
          <w:tblCellMar>
            <w:top w:w="0" w:type="dxa"/>
            <w:bottom w:w="0" w:type="dxa"/>
          </w:tblCellMar>
        </w:tblPrEx>
        <w:trPr>
          <w:cantSplit/>
          <w:tblHeader/>
        </w:trPr>
        <w:tc>
          <w:tcPr>
            <w:tcW w:w="4873" w:type="dxa"/>
            <w:tcBorders>
              <w:top w:val="single" w:sz="4" w:space="0" w:color="E2661A"/>
              <w:left w:val="single" w:sz="4" w:space="0" w:color="E2661A"/>
              <w:bottom w:val="single" w:sz="4" w:space="0" w:color="E2661A"/>
              <w:right w:val="single" w:sz="4" w:space="0" w:color="E2661A"/>
            </w:tcBorders>
            <w:shd w:val="clear" w:color="auto" w:fill="E2661A"/>
            <w:tcMar>
              <w:top w:w="60" w:type="dxa"/>
              <w:left w:w="130" w:type="dxa"/>
              <w:bottom w:w="60" w:type="dxa"/>
              <w:right w:w="110" w:type="dxa"/>
            </w:tcMar>
            <w:vAlign w:val="center"/>
          </w:tcPr>
          <w:p w14:paraId="19020BB1" w14:textId="77777777" w:rsidR="002A4E4B" w:rsidRDefault="00000000">
            <w:pPr>
              <w:spacing w:line="248" w:lineRule="auto"/>
            </w:pPr>
            <w:r>
              <w:rPr>
                <w:b/>
                <w:bCs/>
                <w:color w:val="FFFFFF"/>
                <w:sz w:val="20"/>
                <w:szCs w:val="20"/>
              </w:rPr>
              <w:t>Key principles</w:t>
            </w:r>
          </w:p>
        </w:tc>
        <w:tc>
          <w:tcPr>
            <w:tcW w:w="4873" w:type="dxa"/>
            <w:tcBorders>
              <w:top w:val="single" w:sz="4" w:space="0" w:color="E2661A"/>
              <w:left w:val="single" w:sz="4" w:space="0" w:color="E2661A"/>
              <w:bottom w:val="single" w:sz="4" w:space="0" w:color="E2661A"/>
              <w:right w:val="single" w:sz="4" w:space="0" w:color="E2661A"/>
            </w:tcBorders>
            <w:shd w:val="clear" w:color="auto" w:fill="E2661A"/>
            <w:tcMar>
              <w:top w:w="60" w:type="dxa"/>
              <w:left w:w="130" w:type="dxa"/>
              <w:bottom w:w="60" w:type="dxa"/>
              <w:right w:w="110" w:type="dxa"/>
            </w:tcMar>
            <w:vAlign w:val="center"/>
          </w:tcPr>
          <w:p w14:paraId="7E874F54" w14:textId="77777777" w:rsidR="002A4E4B" w:rsidRDefault="00000000">
            <w:pPr>
              <w:spacing w:line="248" w:lineRule="auto"/>
            </w:pPr>
            <w:r>
              <w:rPr>
                <w:b/>
                <w:bCs/>
                <w:color w:val="FFFFFF"/>
                <w:sz w:val="20"/>
                <w:szCs w:val="20"/>
              </w:rPr>
              <w:t>Practical points in the consultation</w:t>
            </w:r>
          </w:p>
        </w:tc>
      </w:tr>
      <w:tr w:rsidR="002A4E4B" w14:paraId="32555E46"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6B2E8D48" w14:textId="77777777" w:rsidR="002A4E4B" w:rsidRDefault="00000000">
            <w:pPr>
              <w:spacing w:line="248" w:lineRule="auto"/>
            </w:pPr>
            <w:r>
              <w:rPr>
                <w:sz w:val="20"/>
                <w:szCs w:val="20"/>
              </w:rPr>
              <w:t>1. Don't tell people what to do</w:t>
            </w:r>
          </w:p>
        </w:tc>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73EEFC63" w14:textId="77777777" w:rsidR="002A4E4B" w:rsidRDefault="00000000">
            <w:pPr>
              <w:spacing w:line="248" w:lineRule="auto"/>
            </w:pPr>
            <w:r>
              <w:rPr>
                <w:sz w:val="20"/>
                <w:szCs w:val="20"/>
              </w:rPr>
              <w:t>Understand what the patient already knows — and wants to know — by asking.</w:t>
            </w:r>
          </w:p>
        </w:tc>
      </w:tr>
      <w:tr w:rsidR="002A4E4B" w14:paraId="36C0DDCA"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100E6419" w14:textId="77777777" w:rsidR="002A4E4B" w:rsidRDefault="00000000">
            <w:pPr>
              <w:spacing w:line="248" w:lineRule="auto"/>
            </w:pPr>
            <w:r>
              <w:rPr>
                <w:sz w:val="20"/>
                <w:szCs w:val="20"/>
              </w:rPr>
              <w:t>2. Resistance is normal</w:t>
            </w:r>
          </w:p>
        </w:tc>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1322BD32" w14:textId="77777777" w:rsidR="002A4E4B" w:rsidRDefault="00000000">
            <w:pPr>
              <w:spacing w:line="248" w:lineRule="auto"/>
            </w:pPr>
            <w:r>
              <w:rPr>
                <w:sz w:val="20"/>
                <w:szCs w:val="20"/>
              </w:rPr>
              <w:t>Provide information as neutrally as possible.</w:t>
            </w:r>
          </w:p>
        </w:tc>
      </w:tr>
      <w:tr w:rsidR="002A4E4B" w14:paraId="0272C953"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200951D2" w14:textId="77777777" w:rsidR="002A4E4B" w:rsidRDefault="00000000">
            <w:pPr>
              <w:spacing w:line="248" w:lineRule="auto"/>
            </w:pPr>
            <w:r>
              <w:rPr>
                <w:sz w:val="20"/>
                <w:szCs w:val="20"/>
              </w:rPr>
              <w:t>3. Listen</w:t>
            </w:r>
          </w:p>
        </w:tc>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2094AB0D" w14:textId="77777777" w:rsidR="002A4E4B" w:rsidRDefault="00000000">
            <w:pPr>
              <w:spacing w:line="248" w:lineRule="auto"/>
            </w:pPr>
            <w:r>
              <w:rPr>
                <w:sz w:val="20"/>
                <w:szCs w:val="20"/>
              </w:rPr>
              <w:t>Check understanding — “what do you make of that?”</w:t>
            </w:r>
          </w:p>
        </w:tc>
      </w:tr>
      <w:tr w:rsidR="002A4E4B" w14:paraId="2EE93FBE"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08A22017" w14:textId="77777777" w:rsidR="002A4E4B" w:rsidRDefault="00000000">
            <w:pPr>
              <w:spacing w:line="248" w:lineRule="auto"/>
            </w:pPr>
            <w:r>
              <w:rPr>
                <w:sz w:val="20"/>
                <w:szCs w:val="20"/>
              </w:rPr>
              <w:t>4. Let the patient tell you they need to change</w:t>
            </w:r>
          </w:p>
        </w:tc>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4EB5C8E8" w14:textId="77777777" w:rsidR="002A4E4B" w:rsidRDefault="00000000">
            <w:pPr>
              <w:spacing w:line="248" w:lineRule="auto"/>
            </w:pPr>
            <w:r>
              <w:rPr>
                <w:sz w:val="20"/>
                <w:szCs w:val="20"/>
              </w:rPr>
              <w:t>Get a conversation going; express empathy through reflective listening.</w:t>
            </w:r>
          </w:p>
        </w:tc>
      </w:tr>
      <w:tr w:rsidR="002A4E4B" w14:paraId="2CF63F3D"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453F33EA" w14:textId="77777777" w:rsidR="002A4E4B" w:rsidRDefault="00000000">
            <w:pPr>
              <w:spacing w:line="248" w:lineRule="auto"/>
            </w:pPr>
            <w:r>
              <w:rPr>
                <w:sz w:val="20"/>
                <w:szCs w:val="20"/>
              </w:rPr>
              <w:t>5. Create cognitive dissonance</w:t>
            </w:r>
          </w:p>
        </w:tc>
        <w:tc>
          <w:tcPr>
            <w:tcW w:w="4873" w:type="dxa"/>
            <w:tcBorders>
              <w:top w:val="single" w:sz="4" w:space="0" w:color="D7DCE1"/>
              <w:left w:val="single" w:sz="4" w:space="0" w:color="D7DCE1"/>
              <w:bottom w:val="single" w:sz="4" w:space="0" w:color="D7DCE1"/>
              <w:right w:val="single" w:sz="4" w:space="0" w:color="D7DCE1"/>
            </w:tcBorders>
            <w:shd w:val="clear" w:color="auto" w:fill="FFFFFF"/>
            <w:tcMar>
              <w:top w:w="60" w:type="dxa"/>
              <w:left w:w="130" w:type="dxa"/>
              <w:bottom w:w="60" w:type="dxa"/>
              <w:right w:w="110" w:type="dxa"/>
            </w:tcMar>
            <w:vAlign w:val="center"/>
          </w:tcPr>
          <w:p w14:paraId="24B77452" w14:textId="77777777" w:rsidR="002A4E4B" w:rsidRDefault="00000000">
            <w:pPr>
              <w:spacing w:line="248" w:lineRule="auto"/>
            </w:pPr>
            <w:r>
              <w:rPr>
                <w:sz w:val="20"/>
                <w:szCs w:val="20"/>
              </w:rPr>
              <w:t>Develop discrepancy between the patient's goals/values and current behaviour.</w:t>
            </w:r>
          </w:p>
        </w:tc>
      </w:tr>
      <w:tr w:rsidR="002A4E4B" w14:paraId="4342531C" w14:textId="77777777">
        <w:tblPrEx>
          <w:tblCellMar>
            <w:top w:w="0" w:type="dxa"/>
            <w:bottom w:w="0" w:type="dxa"/>
          </w:tblCellMar>
        </w:tblPrEx>
        <w:trPr>
          <w:cantSplit/>
        </w:trPr>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7DE4CBA4" w14:textId="77777777" w:rsidR="002A4E4B" w:rsidRDefault="00000000">
            <w:pPr>
              <w:spacing w:line="248" w:lineRule="auto"/>
            </w:pPr>
            <w:r>
              <w:rPr>
                <w:sz w:val="20"/>
                <w:szCs w:val="20"/>
              </w:rPr>
              <w:t>6. Build confidence before change</w:t>
            </w:r>
          </w:p>
        </w:tc>
        <w:tc>
          <w:tcPr>
            <w:tcW w:w="4873" w:type="dxa"/>
            <w:tcBorders>
              <w:top w:val="single" w:sz="4" w:space="0" w:color="D7DCE1"/>
              <w:left w:val="single" w:sz="4" w:space="0" w:color="D7DCE1"/>
              <w:bottom w:val="single" w:sz="4" w:space="0" w:color="D7DCE1"/>
              <w:right w:val="single" w:sz="4" w:space="0" w:color="D7DCE1"/>
            </w:tcBorders>
            <w:shd w:val="clear" w:color="auto" w:fill="F6F8FA"/>
            <w:tcMar>
              <w:top w:w="60" w:type="dxa"/>
              <w:left w:w="130" w:type="dxa"/>
              <w:bottom w:w="60" w:type="dxa"/>
              <w:right w:w="110" w:type="dxa"/>
            </w:tcMar>
            <w:vAlign w:val="center"/>
          </w:tcPr>
          <w:p w14:paraId="4D655387" w14:textId="77777777" w:rsidR="002A4E4B" w:rsidRDefault="00000000">
            <w:pPr>
              <w:spacing w:line="248" w:lineRule="auto"/>
            </w:pPr>
            <w:r>
              <w:rPr>
                <w:sz w:val="20"/>
                <w:szCs w:val="20"/>
              </w:rPr>
              <w:t>Avoid argument; adjust to resistance rather than opposing it. Support self-efficacy and optimism.</w:t>
            </w:r>
          </w:p>
        </w:tc>
      </w:tr>
    </w:tbl>
    <w:p w14:paraId="627B36AE" w14:textId="77777777" w:rsidR="002A4E4B" w:rsidRDefault="00000000">
      <w:pPr>
        <w:spacing w:after="140"/>
        <w:jc w:val="center"/>
      </w:pPr>
      <w:r>
        <w:rPr>
          <w:i/>
          <w:iCs/>
          <w:color w:val="5A636E"/>
          <w:sz w:val="18"/>
          <w:szCs w:val="18"/>
        </w:rPr>
        <w:t>After Rollnick SP, Miller WR, Butler CC. Motivational Interviewing in Health Care. New York: Guilford Press, 2008.</w:t>
      </w:r>
    </w:p>
    <w:p w14:paraId="482F152A" w14:textId="77777777" w:rsidR="00E70CD9" w:rsidRDefault="00E70CD9">
      <w:r>
        <w:br w:type="page"/>
      </w:r>
    </w:p>
    <w:tbl>
      <w:tblPr>
        <w:tblW w:w="9746" w:type="dxa"/>
        <w:tblBorders>
          <w:top w:val="none" w:sz="0" w:space="0" w:color="FFFFFF"/>
          <w:left w:val="none" w:sz="0" w:space="0" w:color="FFFFFF"/>
          <w:bottom w:val="none" w:sz="0" w:space="0" w:color="FFFFFF"/>
          <w:right w:val="none" w:sz="0" w:space="0" w:color="FFFFFF"/>
          <w:insideH w:val="none" w:sz="0" w:space="0" w:color="FFFFFF"/>
          <w:insideV w:val="none" w:sz="0" w:space="0" w:color="FFFFFF"/>
        </w:tblBorders>
        <w:tblCellMar>
          <w:left w:w="10" w:type="dxa"/>
          <w:right w:w="10" w:type="dxa"/>
        </w:tblCellMar>
        <w:tblLook w:val="0000" w:firstRow="0" w:lastRow="0" w:firstColumn="0" w:lastColumn="0" w:noHBand="0" w:noVBand="0"/>
      </w:tblPr>
      <w:tblGrid>
        <w:gridCol w:w="60"/>
        <w:gridCol w:w="9686"/>
      </w:tblGrid>
      <w:tr w:rsidR="002A4E4B" w14:paraId="5383EC98" w14:textId="77777777">
        <w:tblPrEx>
          <w:tblCellMar>
            <w:top w:w="0" w:type="dxa"/>
            <w:bottom w:w="0" w:type="dxa"/>
          </w:tblCellMar>
        </w:tblPrEx>
        <w:tc>
          <w:tcPr>
            <w:tcW w:w="60" w:type="dxa"/>
            <w:shd w:val="clear" w:color="auto" w:fill="E2661A"/>
            <w:tcMar>
              <w:top w:w="0" w:type="dxa"/>
              <w:left w:w="0" w:type="dxa"/>
              <w:bottom w:w="0" w:type="dxa"/>
              <w:right w:w="0" w:type="dxa"/>
            </w:tcMar>
          </w:tcPr>
          <w:p w14:paraId="2BEDA56D" w14:textId="62112E6E" w:rsidR="002A4E4B" w:rsidRDefault="002A4E4B"/>
        </w:tc>
        <w:tc>
          <w:tcPr>
            <w:tcW w:w="9686" w:type="dxa"/>
            <w:shd w:val="clear" w:color="auto" w:fill="F4F6F8"/>
            <w:tcMar>
              <w:top w:w="70" w:type="dxa"/>
              <w:left w:w="150" w:type="dxa"/>
              <w:bottom w:w="70" w:type="dxa"/>
              <w:right w:w="120" w:type="dxa"/>
            </w:tcMar>
            <w:vAlign w:val="center"/>
          </w:tcPr>
          <w:p w14:paraId="56F015DF" w14:textId="77777777" w:rsidR="002A4E4B" w:rsidRDefault="00000000">
            <w:pPr>
              <w:spacing w:line="252" w:lineRule="auto"/>
            </w:pPr>
            <w:r>
              <w:rPr>
                <w:b/>
                <w:bCs/>
                <w:color w:val="21303D"/>
                <w:sz w:val="27"/>
                <w:szCs w:val="27"/>
              </w:rPr>
              <w:t>A quick note on joint hypermobility</w:t>
            </w:r>
          </w:p>
        </w:tc>
      </w:tr>
    </w:tbl>
    <w:p w14:paraId="0718623B" w14:textId="77777777" w:rsidR="002A4E4B" w:rsidRDefault="00000000">
      <w:pPr>
        <w:spacing w:after="120" w:line="264" w:lineRule="auto"/>
      </w:pPr>
      <w:r>
        <w:t>Hypermobility is common (around 1 in 5) and is usually not a connective-tissue disorder such as Ehlers–Danlos or Marfan syndrome. For some it is a gift (dancers, gymnasts, musicians); for others it brings pain, stiffness, easy sprains, dislocations and muscle fatigue — particularly when joints are inactive.</w:t>
      </w:r>
    </w:p>
    <w:p w14:paraId="4D7D3132" w14:textId="77777777" w:rsidR="002A4E4B" w:rsidRDefault="00000000">
      <w:pPr>
        <w:pStyle w:val="ListParagraph"/>
        <w:numPr>
          <w:ilvl w:val="0"/>
          <w:numId w:val="5"/>
        </w:numPr>
        <w:spacing w:after="60" w:line="252" w:lineRule="auto"/>
      </w:pPr>
      <w:r>
        <w:rPr>
          <w:b/>
          <w:bCs/>
        </w:rPr>
        <w:t xml:space="preserve">Management: </w:t>
      </w:r>
      <w:r>
        <w:t>keep active to build muscle strength and joint control; low-impact exercise (swimming, cycling); medial arch supports if the feet pronate.</w:t>
      </w:r>
    </w:p>
    <w:tbl>
      <w:tblPr>
        <w:tblW w:w="9746" w:type="dxa"/>
        <w:tblBorders>
          <w:top w:val="single" w:sz="2" w:space="0" w:color="E08600"/>
          <w:left w:val="single" w:sz="28" w:space="0" w:color="E08600"/>
          <w:bottom w:val="single" w:sz="2" w:space="0" w:color="E08600"/>
          <w:right w:val="single" w:sz="2" w:space="0" w:color="E08600"/>
          <w:insideH w:val="single" w:sz="4" w:space="0" w:color="auto"/>
          <w:insideV w:val="single" w:sz="4" w:space="0" w:color="auto"/>
        </w:tblBorders>
        <w:tblCellMar>
          <w:left w:w="10" w:type="dxa"/>
          <w:right w:w="10" w:type="dxa"/>
        </w:tblCellMar>
        <w:tblLook w:val="0000" w:firstRow="0" w:lastRow="0" w:firstColumn="0" w:lastColumn="0" w:noHBand="0" w:noVBand="0"/>
      </w:tblPr>
      <w:tblGrid>
        <w:gridCol w:w="9746"/>
      </w:tblGrid>
      <w:tr w:rsidR="002A4E4B" w14:paraId="13635D68" w14:textId="77777777">
        <w:tblPrEx>
          <w:tblCellMar>
            <w:top w:w="0" w:type="dxa"/>
            <w:bottom w:w="0" w:type="dxa"/>
          </w:tblCellMar>
        </w:tblPrEx>
        <w:trPr>
          <w:cantSplit/>
        </w:trPr>
        <w:tc>
          <w:tcPr>
            <w:tcW w:w="9746" w:type="dxa"/>
            <w:shd w:val="clear" w:color="auto" w:fill="FEF4E2"/>
            <w:tcMar>
              <w:top w:w="110" w:type="dxa"/>
              <w:left w:w="200" w:type="dxa"/>
              <w:bottom w:w="110" w:type="dxa"/>
              <w:right w:w="160" w:type="dxa"/>
            </w:tcMar>
          </w:tcPr>
          <w:p w14:paraId="56D53B1B" w14:textId="77777777" w:rsidR="002A4E4B" w:rsidRDefault="00000000">
            <w:pPr>
              <w:spacing w:after="70" w:line="248" w:lineRule="auto"/>
            </w:pPr>
            <w:proofErr w:type="gramStart"/>
            <w:r>
              <w:rPr>
                <w:b/>
                <w:bCs/>
                <w:color w:val="9A5B00"/>
              </w:rPr>
              <w:t>◆  Terminology</w:t>
            </w:r>
            <w:proofErr w:type="gramEnd"/>
            <w:r>
              <w:rPr>
                <w:b/>
                <w:bCs/>
                <w:color w:val="9A5B00"/>
              </w:rPr>
              <w:t xml:space="preserve"> has moved on</w:t>
            </w:r>
          </w:p>
          <w:p w14:paraId="4D4962E2" w14:textId="77777777" w:rsidR="002A4E4B" w:rsidRDefault="00000000">
            <w:pPr>
              <w:spacing w:line="252" w:lineRule="auto"/>
            </w:pPr>
            <w:r>
              <w:rPr>
                <w:b/>
                <w:bCs/>
                <w:color w:val="9A5B00"/>
              </w:rPr>
              <w:t>The label 'joint hypermobility syndrome' is superseded. Symptomatic hypermobility is now classified as hypermobile EDS (</w:t>
            </w:r>
            <w:proofErr w:type="spellStart"/>
            <w:r>
              <w:rPr>
                <w:b/>
                <w:bCs/>
                <w:color w:val="9A5B00"/>
              </w:rPr>
              <w:t>hEDS</w:t>
            </w:r>
            <w:proofErr w:type="spellEnd"/>
            <w:r>
              <w:rPr>
                <w:b/>
                <w:bCs/>
                <w:color w:val="9A5B00"/>
              </w:rPr>
              <w:t>) or hypermobility spectrum disorder (HSD) under the 2017 international criteria. See the companion 'Joint Hypermobility — Scoring &amp; Assessment' teaching aid for the Beighton score and current cut-offs.</w:t>
            </w:r>
          </w:p>
        </w:tc>
      </w:tr>
      <w:tr w:rsidR="002A4E4B" w14:paraId="6867C9CD" w14:textId="77777777">
        <w:tblPrEx>
          <w:tblCellMar>
            <w:top w:w="0" w:type="dxa"/>
            <w:bottom w:w="0" w:type="dxa"/>
          </w:tblCellMar>
        </w:tblPrEx>
        <w:trPr>
          <w:cantSplit/>
        </w:trPr>
        <w:tc>
          <w:tcPr>
            <w:tcW w:w="9746" w:type="dxa"/>
            <w:shd w:val="clear" w:color="auto" w:fill="FEF4E2"/>
            <w:tcMar>
              <w:top w:w="110" w:type="dxa"/>
              <w:left w:w="200" w:type="dxa"/>
              <w:bottom w:w="110" w:type="dxa"/>
              <w:right w:w="160" w:type="dxa"/>
            </w:tcMar>
          </w:tcPr>
          <w:p w14:paraId="6603286F" w14:textId="77777777" w:rsidR="002A4E4B" w:rsidRDefault="00000000">
            <w:pPr>
              <w:spacing w:after="70" w:line="248" w:lineRule="auto"/>
            </w:pPr>
            <w:proofErr w:type="gramStart"/>
            <w:r>
              <w:rPr>
                <w:b/>
                <w:bCs/>
                <w:color w:val="9A5B00"/>
              </w:rPr>
              <w:t>◆  What's</w:t>
            </w:r>
            <w:proofErr w:type="gramEnd"/>
            <w:r>
              <w:rPr>
                <w:b/>
                <w:bCs/>
                <w:color w:val="9A5B00"/>
              </w:rPr>
              <w:t xml:space="preserve"> changed from older teaching</w:t>
            </w:r>
          </w:p>
          <w:p w14:paraId="2233195F" w14:textId="77777777" w:rsidR="002A4E4B" w:rsidRDefault="00000000">
            <w:pPr>
              <w:pStyle w:val="ListParagraph"/>
              <w:numPr>
                <w:ilvl w:val="0"/>
                <w:numId w:val="6"/>
              </w:numPr>
              <w:spacing w:after="50" w:line="248" w:lineRule="auto"/>
            </w:pPr>
            <w:r>
              <w:rPr>
                <w:b/>
                <w:bCs/>
              </w:rPr>
              <w:t xml:space="preserve">Arthritis Research UK is now Versus Arthritis </w:t>
            </w:r>
            <w:r>
              <w:t>(2018 merger) — versusarthritis.org, including its information resources for patients and clinicians. The Pain Toolkit (paintoolkit.org) remains a useful resource.</w:t>
            </w:r>
          </w:p>
          <w:p w14:paraId="1D610C55" w14:textId="77777777" w:rsidR="002A4E4B" w:rsidRDefault="00000000">
            <w:pPr>
              <w:pStyle w:val="ListParagraph"/>
              <w:numPr>
                <w:ilvl w:val="0"/>
                <w:numId w:val="6"/>
              </w:numPr>
              <w:spacing w:after="50" w:line="248" w:lineRule="auto"/>
            </w:pPr>
            <w:r>
              <w:rPr>
                <w:b/>
                <w:bCs/>
              </w:rPr>
              <w:t xml:space="preserve">Cardiovascular risk is assessed with QRISK3 </w:t>
            </w:r>
            <w:r>
              <w:t>(QRISK2 superseded).</w:t>
            </w:r>
          </w:p>
          <w:p w14:paraId="2F22E2E9" w14:textId="77777777" w:rsidR="002A4E4B" w:rsidRDefault="00000000">
            <w:pPr>
              <w:pStyle w:val="ListParagraph"/>
              <w:numPr>
                <w:ilvl w:val="0"/>
                <w:numId w:val="6"/>
              </w:numPr>
              <w:spacing w:line="248" w:lineRule="auto"/>
            </w:pPr>
            <w:r>
              <w:rPr>
                <w:b/>
                <w:bCs/>
              </w:rPr>
              <w:t xml:space="preserve">'Joint hypermobility syndrome' → </w:t>
            </w:r>
            <w:proofErr w:type="spellStart"/>
            <w:r>
              <w:rPr>
                <w:b/>
                <w:bCs/>
              </w:rPr>
              <w:t>hEDS</w:t>
            </w:r>
            <w:proofErr w:type="spellEnd"/>
            <w:r>
              <w:rPr>
                <w:b/>
                <w:bCs/>
              </w:rPr>
              <w:t xml:space="preserve"> / HSD </w:t>
            </w:r>
            <w:r>
              <w:t>(2017 classification).</w:t>
            </w:r>
          </w:p>
        </w:tc>
      </w:tr>
      <w:tr w:rsidR="002A4E4B" w14:paraId="2FBF83F6" w14:textId="77777777">
        <w:tblPrEx>
          <w:tblBorders>
            <w:top w:val="single" w:sz="2" w:space="0" w:color="7A4FA3"/>
            <w:left w:val="single" w:sz="28" w:space="0" w:color="7A4FA3"/>
            <w:bottom w:val="single" w:sz="2" w:space="0" w:color="7A4FA3"/>
            <w:right w:val="single" w:sz="2" w:space="0" w:color="7A4FA3"/>
          </w:tblBorders>
          <w:tblCellMar>
            <w:top w:w="0" w:type="dxa"/>
            <w:bottom w:w="0" w:type="dxa"/>
          </w:tblCellMar>
        </w:tblPrEx>
        <w:trPr>
          <w:cantSplit/>
        </w:trPr>
        <w:tc>
          <w:tcPr>
            <w:tcW w:w="9746" w:type="dxa"/>
            <w:shd w:val="clear" w:color="auto" w:fill="F1EAF8"/>
            <w:tcMar>
              <w:top w:w="110" w:type="dxa"/>
              <w:left w:w="200" w:type="dxa"/>
              <w:bottom w:w="110" w:type="dxa"/>
              <w:right w:w="160" w:type="dxa"/>
            </w:tcMar>
          </w:tcPr>
          <w:p w14:paraId="70B5B069" w14:textId="77777777" w:rsidR="002A4E4B" w:rsidRDefault="00000000">
            <w:pPr>
              <w:spacing w:after="70" w:line="248" w:lineRule="auto"/>
            </w:pPr>
            <w:proofErr w:type="gramStart"/>
            <w:r>
              <w:rPr>
                <w:b/>
                <w:bCs/>
                <w:color w:val="5E3A82"/>
              </w:rPr>
              <w:t>■  Disclaimer</w:t>
            </w:r>
            <w:proofErr w:type="gramEnd"/>
            <w:r>
              <w:rPr>
                <w:b/>
                <w:bCs/>
                <w:color w:val="5E3A82"/>
              </w:rPr>
              <w:t xml:space="preserve"> &amp; verification</w:t>
            </w:r>
          </w:p>
          <w:p w14:paraId="053D9E6A" w14:textId="77777777" w:rsidR="002A4E4B" w:rsidRDefault="00000000">
            <w:pPr>
              <w:spacing w:after="60" w:line="252" w:lineRule="auto"/>
            </w:pPr>
            <w:r>
              <w:rPr>
                <w:b/>
                <w:bCs/>
                <w:color w:val="5E3A82"/>
              </w:rPr>
              <w:t xml:space="preserve">Key sources used for this update: </w:t>
            </w:r>
            <w:r>
              <w:t>NICE NG226 Osteoarthritis; NICE CKS (osteoarthritis, MSK assessment); Versus Arthritis (versusarthritis.org); Rollnick, Miller &amp; Butler, Motivational Interviewing in Health Care (2008); 2017 International EDS classification.</w:t>
            </w:r>
          </w:p>
          <w:p w14:paraId="27F2FC23" w14:textId="77777777" w:rsidR="002A4E4B" w:rsidRDefault="00000000">
            <w:pPr>
              <w:spacing w:line="252" w:lineRule="auto"/>
            </w:pPr>
            <w:r>
              <w:t>This document is provided exclusively for educational and training purposes as a teaching aid. It does not constitute formal clinical guidance. Clinicians must independently verify all medical information, prescribing guidance, procedural protocols and legal requirements against current national guidance (e.g. NICE, NICE CKS, BNF), local policies and the relevant regulatory bodies before applying anything in practice.</w:t>
            </w:r>
          </w:p>
        </w:tc>
      </w:tr>
    </w:tbl>
    <w:p w14:paraId="61364583" w14:textId="77777777" w:rsidR="000F6E0E" w:rsidRDefault="000F6E0E"/>
    <w:sectPr w:rsidR="000F6E0E">
      <w:footerReference w:type="default" r:id="rId7"/>
      <w:pgSz w:w="11906" w:h="16838"/>
      <w:pgMar w:top="1134" w:right="1080" w:bottom="1191" w:left="1080" w:header="680" w:footer="56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0FC5D4" w14:textId="77777777" w:rsidR="000F6E0E" w:rsidRDefault="000F6E0E">
      <w:r>
        <w:separator/>
      </w:r>
    </w:p>
  </w:endnote>
  <w:endnote w:type="continuationSeparator" w:id="0">
    <w:p w14:paraId="1964B956" w14:textId="77777777" w:rsidR="000F6E0E" w:rsidRDefault="000F6E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1A631" w14:textId="77777777" w:rsidR="002A4E4B" w:rsidRDefault="002A4E4B">
    <w:pPr>
      <w:pBdr>
        <w:top w:val="single" w:sz="8" w:space="4" w:color="E2661A"/>
      </w:pBdr>
      <w:spacing w:before="40" w:after="20"/>
    </w:pPr>
  </w:p>
  <w:p w14:paraId="3F517BBE" w14:textId="77777777" w:rsidR="002A4E4B" w:rsidRDefault="00000000">
    <w:pPr>
      <w:tabs>
        <w:tab w:val="right" w:pos="9746"/>
      </w:tabs>
      <w:spacing w:line="224" w:lineRule="auto"/>
    </w:pPr>
    <w:r>
      <w:rPr>
        <w:i/>
        <w:iCs/>
        <w:color w:val="5A636E"/>
        <w:sz w:val="14"/>
        <w:szCs w:val="14"/>
      </w:rPr>
      <w:t>Key Points in MSK Problems — Bradford VTS Teaching Aid</w:t>
    </w:r>
    <w:r>
      <w:rPr>
        <w:sz w:val="14"/>
        <w:szCs w:val="14"/>
      </w:rPr>
      <w:tab/>
    </w:r>
    <w:r>
      <w:rPr>
        <w:color w:val="5A636E"/>
        <w:sz w:val="14"/>
        <w:szCs w:val="14"/>
      </w:rPr>
      <w:t xml:space="preserve">bradfordvts.co.uk   ·   Page </w:t>
    </w:r>
    <w:r>
      <w:rPr>
        <w:b/>
        <w:bCs/>
        <w:color w:val="5A636E"/>
        <w:sz w:val="14"/>
        <w:szCs w:val="14"/>
      </w:rPr>
      <w:fldChar w:fldCharType="begin"/>
    </w:r>
    <w:r>
      <w:rPr>
        <w:b/>
        <w:bCs/>
        <w:color w:val="5A636E"/>
        <w:sz w:val="14"/>
        <w:szCs w:val="14"/>
      </w:rPr>
      <w:instrText>PAGE</w:instrText>
    </w:r>
    <w:r>
      <w:rPr>
        <w:b/>
        <w:bCs/>
        <w:color w:val="5A636E"/>
        <w:sz w:val="14"/>
        <w:szCs w:val="14"/>
      </w:rPr>
      <w:fldChar w:fldCharType="separate"/>
    </w:r>
    <w:r w:rsidR="00E70CD9">
      <w:rPr>
        <w:b/>
        <w:bCs/>
        <w:noProof/>
        <w:color w:val="5A636E"/>
        <w:sz w:val="14"/>
        <w:szCs w:val="14"/>
      </w:rPr>
      <w:t>1</w:t>
    </w:r>
    <w:r>
      <w:rPr>
        <w:b/>
        <w:bCs/>
        <w:color w:val="5A636E"/>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C7C958" w14:textId="77777777" w:rsidR="000F6E0E" w:rsidRDefault="000F6E0E">
      <w:r>
        <w:separator/>
      </w:r>
    </w:p>
  </w:footnote>
  <w:footnote w:type="continuationSeparator" w:id="0">
    <w:p w14:paraId="12383ED6" w14:textId="77777777" w:rsidR="000F6E0E" w:rsidRDefault="000F6E0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5966F6"/>
    <w:multiLevelType w:val="hybridMultilevel"/>
    <w:tmpl w:val="6A023212"/>
    <w:lvl w:ilvl="0" w:tplc="55C27574">
      <w:start w:val="1"/>
      <w:numFmt w:val="bullet"/>
      <w:lvlText w:val="•"/>
      <w:lvlJc w:val="left"/>
      <w:pPr>
        <w:ind w:left="360" w:hanging="220"/>
      </w:pPr>
      <w:rPr>
        <w:color w:val="E2661A"/>
      </w:rPr>
    </w:lvl>
    <w:lvl w:ilvl="1" w:tplc="6FF2007C">
      <w:start w:val="1"/>
      <w:numFmt w:val="bullet"/>
      <w:lvlText w:val="–"/>
      <w:lvlJc w:val="left"/>
      <w:pPr>
        <w:ind w:left="720" w:hanging="220"/>
      </w:pPr>
      <w:rPr>
        <w:color w:val="5A636E"/>
      </w:rPr>
    </w:lvl>
    <w:lvl w:ilvl="2" w:tplc="E6AE5E6E">
      <w:numFmt w:val="decimal"/>
      <w:lvlText w:val=""/>
      <w:lvlJc w:val="left"/>
    </w:lvl>
    <w:lvl w:ilvl="3" w:tplc="1E5282A0">
      <w:numFmt w:val="decimal"/>
      <w:lvlText w:val=""/>
      <w:lvlJc w:val="left"/>
    </w:lvl>
    <w:lvl w:ilvl="4" w:tplc="97869978">
      <w:numFmt w:val="decimal"/>
      <w:lvlText w:val=""/>
      <w:lvlJc w:val="left"/>
    </w:lvl>
    <w:lvl w:ilvl="5" w:tplc="0EC6112C">
      <w:numFmt w:val="decimal"/>
      <w:lvlText w:val=""/>
      <w:lvlJc w:val="left"/>
    </w:lvl>
    <w:lvl w:ilvl="6" w:tplc="48E88112">
      <w:numFmt w:val="decimal"/>
      <w:lvlText w:val=""/>
      <w:lvlJc w:val="left"/>
    </w:lvl>
    <w:lvl w:ilvl="7" w:tplc="F3280D72">
      <w:numFmt w:val="decimal"/>
      <w:lvlText w:val=""/>
      <w:lvlJc w:val="left"/>
    </w:lvl>
    <w:lvl w:ilvl="8" w:tplc="12A22908">
      <w:numFmt w:val="decimal"/>
      <w:lvlText w:val=""/>
      <w:lvlJc w:val="left"/>
    </w:lvl>
  </w:abstractNum>
  <w:abstractNum w:abstractNumId="1" w15:restartNumberingAfterBreak="0">
    <w:nsid w:val="0F6E335D"/>
    <w:multiLevelType w:val="hybridMultilevel"/>
    <w:tmpl w:val="81DC433A"/>
    <w:lvl w:ilvl="0" w:tplc="64720484">
      <w:start w:val="1"/>
      <w:numFmt w:val="bullet"/>
      <w:lvlText w:val="•"/>
      <w:lvlJc w:val="left"/>
      <w:pPr>
        <w:ind w:left="320" w:hanging="210"/>
      </w:pPr>
      <w:rPr>
        <w:color w:val="7A4FA3"/>
      </w:rPr>
    </w:lvl>
    <w:lvl w:ilvl="1" w:tplc="809C4FC4">
      <w:numFmt w:val="decimal"/>
      <w:lvlText w:val=""/>
      <w:lvlJc w:val="left"/>
    </w:lvl>
    <w:lvl w:ilvl="2" w:tplc="98F8C850">
      <w:numFmt w:val="decimal"/>
      <w:lvlText w:val=""/>
      <w:lvlJc w:val="left"/>
    </w:lvl>
    <w:lvl w:ilvl="3" w:tplc="3B5811FC">
      <w:numFmt w:val="decimal"/>
      <w:lvlText w:val=""/>
      <w:lvlJc w:val="left"/>
    </w:lvl>
    <w:lvl w:ilvl="4" w:tplc="6ADCFC30">
      <w:numFmt w:val="decimal"/>
      <w:lvlText w:val=""/>
      <w:lvlJc w:val="left"/>
    </w:lvl>
    <w:lvl w:ilvl="5" w:tplc="5BD2F9E2">
      <w:numFmt w:val="decimal"/>
      <w:lvlText w:val=""/>
      <w:lvlJc w:val="left"/>
    </w:lvl>
    <w:lvl w:ilvl="6" w:tplc="FF74B3C2">
      <w:numFmt w:val="decimal"/>
      <w:lvlText w:val=""/>
      <w:lvlJc w:val="left"/>
    </w:lvl>
    <w:lvl w:ilvl="7" w:tplc="91B8E2FC">
      <w:numFmt w:val="decimal"/>
      <w:lvlText w:val=""/>
      <w:lvlJc w:val="left"/>
    </w:lvl>
    <w:lvl w:ilvl="8" w:tplc="A42490AA">
      <w:numFmt w:val="decimal"/>
      <w:lvlText w:val=""/>
      <w:lvlJc w:val="left"/>
    </w:lvl>
  </w:abstractNum>
  <w:abstractNum w:abstractNumId="2" w15:restartNumberingAfterBreak="0">
    <w:nsid w:val="138E6DCA"/>
    <w:multiLevelType w:val="hybridMultilevel"/>
    <w:tmpl w:val="42AAC52C"/>
    <w:lvl w:ilvl="0" w:tplc="CCFA2D82">
      <w:start w:val="1"/>
      <w:numFmt w:val="decimal"/>
      <w:lvlText w:val="%1."/>
      <w:lvlJc w:val="left"/>
      <w:pPr>
        <w:ind w:left="380" w:hanging="250"/>
      </w:pPr>
      <w:rPr>
        <w:b/>
        <w:bCs/>
        <w:color w:val="C0530F"/>
      </w:rPr>
    </w:lvl>
    <w:lvl w:ilvl="1" w:tplc="2718355A">
      <w:numFmt w:val="decimal"/>
      <w:lvlText w:val=""/>
      <w:lvlJc w:val="left"/>
    </w:lvl>
    <w:lvl w:ilvl="2" w:tplc="2FEE3A96">
      <w:numFmt w:val="decimal"/>
      <w:lvlText w:val=""/>
      <w:lvlJc w:val="left"/>
    </w:lvl>
    <w:lvl w:ilvl="3" w:tplc="E198251C">
      <w:numFmt w:val="decimal"/>
      <w:lvlText w:val=""/>
      <w:lvlJc w:val="left"/>
    </w:lvl>
    <w:lvl w:ilvl="4" w:tplc="063EBF9E">
      <w:numFmt w:val="decimal"/>
      <w:lvlText w:val=""/>
      <w:lvlJc w:val="left"/>
    </w:lvl>
    <w:lvl w:ilvl="5" w:tplc="9ED6F78C">
      <w:numFmt w:val="decimal"/>
      <w:lvlText w:val=""/>
      <w:lvlJc w:val="left"/>
    </w:lvl>
    <w:lvl w:ilvl="6" w:tplc="6F92D2A6">
      <w:numFmt w:val="decimal"/>
      <w:lvlText w:val=""/>
      <w:lvlJc w:val="left"/>
    </w:lvl>
    <w:lvl w:ilvl="7" w:tplc="D4FE8BA4">
      <w:numFmt w:val="decimal"/>
      <w:lvlText w:val=""/>
      <w:lvlJc w:val="left"/>
    </w:lvl>
    <w:lvl w:ilvl="8" w:tplc="A7EC78CA">
      <w:numFmt w:val="decimal"/>
      <w:lvlText w:val=""/>
      <w:lvlJc w:val="left"/>
    </w:lvl>
  </w:abstractNum>
  <w:abstractNum w:abstractNumId="3" w15:restartNumberingAfterBreak="0">
    <w:nsid w:val="1D045310"/>
    <w:multiLevelType w:val="hybridMultilevel"/>
    <w:tmpl w:val="B27831E0"/>
    <w:lvl w:ilvl="0" w:tplc="DCEABB94">
      <w:start w:val="1"/>
      <w:numFmt w:val="decimal"/>
      <w:lvlText w:val="%1."/>
      <w:lvlJc w:val="left"/>
      <w:pPr>
        <w:ind w:left="380" w:hanging="250"/>
      </w:pPr>
      <w:rPr>
        <w:b/>
        <w:bCs/>
        <w:color w:val="C0530F"/>
      </w:rPr>
    </w:lvl>
    <w:lvl w:ilvl="1" w:tplc="9EC20C26">
      <w:numFmt w:val="decimal"/>
      <w:lvlText w:val=""/>
      <w:lvlJc w:val="left"/>
    </w:lvl>
    <w:lvl w:ilvl="2" w:tplc="78CA7762">
      <w:numFmt w:val="decimal"/>
      <w:lvlText w:val=""/>
      <w:lvlJc w:val="left"/>
    </w:lvl>
    <w:lvl w:ilvl="3" w:tplc="8884A74A">
      <w:numFmt w:val="decimal"/>
      <w:lvlText w:val=""/>
      <w:lvlJc w:val="left"/>
    </w:lvl>
    <w:lvl w:ilvl="4" w:tplc="4DDED340">
      <w:numFmt w:val="decimal"/>
      <w:lvlText w:val=""/>
      <w:lvlJc w:val="left"/>
    </w:lvl>
    <w:lvl w:ilvl="5" w:tplc="DBC22B92">
      <w:numFmt w:val="decimal"/>
      <w:lvlText w:val=""/>
      <w:lvlJc w:val="left"/>
    </w:lvl>
    <w:lvl w:ilvl="6" w:tplc="FEF6ED1C">
      <w:numFmt w:val="decimal"/>
      <w:lvlText w:val=""/>
      <w:lvlJc w:val="left"/>
    </w:lvl>
    <w:lvl w:ilvl="7" w:tplc="E42CFA9E">
      <w:numFmt w:val="decimal"/>
      <w:lvlText w:val=""/>
      <w:lvlJc w:val="left"/>
    </w:lvl>
    <w:lvl w:ilvl="8" w:tplc="3B824FDC">
      <w:numFmt w:val="decimal"/>
      <w:lvlText w:val=""/>
      <w:lvlJc w:val="left"/>
    </w:lvl>
  </w:abstractNum>
  <w:abstractNum w:abstractNumId="4" w15:restartNumberingAfterBreak="0">
    <w:nsid w:val="1E892046"/>
    <w:multiLevelType w:val="hybridMultilevel"/>
    <w:tmpl w:val="8FF8AC84"/>
    <w:lvl w:ilvl="0" w:tplc="E3C496CC">
      <w:start w:val="1"/>
      <w:numFmt w:val="bullet"/>
      <w:lvlText w:val="•"/>
      <w:lvlJc w:val="left"/>
      <w:pPr>
        <w:ind w:left="320" w:hanging="210"/>
      </w:pPr>
      <w:rPr>
        <w:color w:val="2EA057"/>
      </w:rPr>
    </w:lvl>
    <w:lvl w:ilvl="1" w:tplc="9720125E">
      <w:numFmt w:val="decimal"/>
      <w:lvlText w:val=""/>
      <w:lvlJc w:val="left"/>
    </w:lvl>
    <w:lvl w:ilvl="2" w:tplc="1186AF0E">
      <w:numFmt w:val="decimal"/>
      <w:lvlText w:val=""/>
      <w:lvlJc w:val="left"/>
    </w:lvl>
    <w:lvl w:ilvl="3" w:tplc="54B872E2">
      <w:numFmt w:val="decimal"/>
      <w:lvlText w:val=""/>
      <w:lvlJc w:val="left"/>
    </w:lvl>
    <w:lvl w:ilvl="4" w:tplc="B172173C">
      <w:numFmt w:val="decimal"/>
      <w:lvlText w:val=""/>
      <w:lvlJc w:val="left"/>
    </w:lvl>
    <w:lvl w:ilvl="5" w:tplc="C548E734">
      <w:numFmt w:val="decimal"/>
      <w:lvlText w:val=""/>
      <w:lvlJc w:val="left"/>
    </w:lvl>
    <w:lvl w:ilvl="6" w:tplc="6110F9E2">
      <w:numFmt w:val="decimal"/>
      <w:lvlText w:val=""/>
      <w:lvlJc w:val="left"/>
    </w:lvl>
    <w:lvl w:ilvl="7" w:tplc="DC2C43E0">
      <w:numFmt w:val="decimal"/>
      <w:lvlText w:val=""/>
      <w:lvlJc w:val="left"/>
    </w:lvl>
    <w:lvl w:ilvl="8" w:tplc="5D38C8E2">
      <w:numFmt w:val="decimal"/>
      <w:lvlText w:val=""/>
      <w:lvlJc w:val="left"/>
    </w:lvl>
  </w:abstractNum>
  <w:abstractNum w:abstractNumId="5" w15:restartNumberingAfterBreak="0">
    <w:nsid w:val="2C410599"/>
    <w:multiLevelType w:val="hybridMultilevel"/>
    <w:tmpl w:val="C0C8297A"/>
    <w:lvl w:ilvl="0" w:tplc="ABEABE6C">
      <w:start w:val="1"/>
      <w:numFmt w:val="bullet"/>
      <w:lvlText w:val="•"/>
      <w:lvlJc w:val="left"/>
      <w:pPr>
        <w:ind w:left="320" w:hanging="210"/>
      </w:pPr>
      <w:rPr>
        <w:color w:val="E08600"/>
      </w:rPr>
    </w:lvl>
    <w:lvl w:ilvl="1" w:tplc="DDB02344">
      <w:numFmt w:val="decimal"/>
      <w:lvlText w:val=""/>
      <w:lvlJc w:val="left"/>
    </w:lvl>
    <w:lvl w:ilvl="2" w:tplc="5BE870DE">
      <w:numFmt w:val="decimal"/>
      <w:lvlText w:val=""/>
      <w:lvlJc w:val="left"/>
    </w:lvl>
    <w:lvl w:ilvl="3" w:tplc="7EFE373E">
      <w:numFmt w:val="decimal"/>
      <w:lvlText w:val=""/>
      <w:lvlJc w:val="left"/>
    </w:lvl>
    <w:lvl w:ilvl="4" w:tplc="B478DC7C">
      <w:numFmt w:val="decimal"/>
      <w:lvlText w:val=""/>
      <w:lvlJc w:val="left"/>
    </w:lvl>
    <w:lvl w:ilvl="5" w:tplc="FE5E103A">
      <w:numFmt w:val="decimal"/>
      <w:lvlText w:val=""/>
      <w:lvlJc w:val="left"/>
    </w:lvl>
    <w:lvl w:ilvl="6" w:tplc="E5A6B246">
      <w:numFmt w:val="decimal"/>
      <w:lvlText w:val=""/>
      <w:lvlJc w:val="left"/>
    </w:lvl>
    <w:lvl w:ilvl="7" w:tplc="BE649226">
      <w:numFmt w:val="decimal"/>
      <w:lvlText w:val=""/>
      <w:lvlJc w:val="left"/>
    </w:lvl>
    <w:lvl w:ilvl="8" w:tplc="4E52EF1A">
      <w:numFmt w:val="decimal"/>
      <w:lvlText w:val=""/>
      <w:lvlJc w:val="left"/>
    </w:lvl>
  </w:abstractNum>
  <w:abstractNum w:abstractNumId="6" w15:restartNumberingAfterBreak="0">
    <w:nsid w:val="3A951A2D"/>
    <w:multiLevelType w:val="hybridMultilevel"/>
    <w:tmpl w:val="EE7C8D92"/>
    <w:lvl w:ilvl="0" w:tplc="98CE9CE4">
      <w:start w:val="1"/>
      <w:numFmt w:val="bullet"/>
      <w:lvlText w:val="•"/>
      <w:lvlJc w:val="left"/>
      <w:pPr>
        <w:ind w:left="320" w:hanging="210"/>
      </w:pPr>
      <w:rPr>
        <w:color w:val="D34747"/>
      </w:rPr>
    </w:lvl>
    <w:lvl w:ilvl="1" w:tplc="8646A844">
      <w:numFmt w:val="decimal"/>
      <w:lvlText w:val=""/>
      <w:lvlJc w:val="left"/>
    </w:lvl>
    <w:lvl w:ilvl="2" w:tplc="B0F43094">
      <w:numFmt w:val="decimal"/>
      <w:lvlText w:val=""/>
      <w:lvlJc w:val="left"/>
    </w:lvl>
    <w:lvl w:ilvl="3" w:tplc="036A313E">
      <w:numFmt w:val="decimal"/>
      <w:lvlText w:val=""/>
      <w:lvlJc w:val="left"/>
    </w:lvl>
    <w:lvl w:ilvl="4" w:tplc="80EA0866">
      <w:numFmt w:val="decimal"/>
      <w:lvlText w:val=""/>
      <w:lvlJc w:val="left"/>
    </w:lvl>
    <w:lvl w:ilvl="5" w:tplc="8010880E">
      <w:numFmt w:val="decimal"/>
      <w:lvlText w:val=""/>
      <w:lvlJc w:val="left"/>
    </w:lvl>
    <w:lvl w:ilvl="6" w:tplc="F704E698">
      <w:numFmt w:val="decimal"/>
      <w:lvlText w:val=""/>
      <w:lvlJc w:val="left"/>
    </w:lvl>
    <w:lvl w:ilvl="7" w:tplc="DAC40A70">
      <w:numFmt w:val="decimal"/>
      <w:lvlText w:val=""/>
      <w:lvlJc w:val="left"/>
    </w:lvl>
    <w:lvl w:ilvl="8" w:tplc="EA2AF542">
      <w:numFmt w:val="decimal"/>
      <w:lvlText w:val=""/>
      <w:lvlJc w:val="left"/>
    </w:lvl>
  </w:abstractNum>
  <w:abstractNum w:abstractNumId="7" w15:restartNumberingAfterBreak="0">
    <w:nsid w:val="40751744"/>
    <w:multiLevelType w:val="hybridMultilevel"/>
    <w:tmpl w:val="5E6A9F00"/>
    <w:lvl w:ilvl="0" w:tplc="33D6F23A">
      <w:start w:val="1"/>
      <w:numFmt w:val="bullet"/>
      <w:lvlText w:val="•"/>
      <w:lvlJc w:val="left"/>
      <w:pPr>
        <w:ind w:left="320" w:hanging="210"/>
      </w:pPr>
      <w:rPr>
        <w:color w:val="1F9E94"/>
      </w:rPr>
    </w:lvl>
    <w:lvl w:ilvl="1" w:tplc="63A0504E">
      <w:numFmt w:val="decimal"/>
      <w:lvlText w:val=""/>
      <w:lvlJc w:val="left"/>
    </w:lvl>
    <w:lvl w:ilvl="2" w:tplc="476A0A92">
      <w:numFmt w:val="decimal"/>
      <w:lvlText w:val=""/>
      <w:lvlJc w:val="left"/>
    </w:lvl>
    <w:lvl w:ilvl="3" w:tplc="D95ADC24">
      <w:numFmt w:val="decimal"/>
      <w:lvlText w:val=""/>
      <w:lvlJc w:val="left"/>
    </w:lvl>
    <w:lvl w:ilvl="4" w:tplc="122C62E6">
      <w:numFmt w:val="decimal"/>
      <w:lvlText w:val=""/>
      <w:lvlJc w:val="left"/>
    </w:lvl>
    <w:lvl w:ilvl="5" w:tplc="A2BA5260">
      <w:numFmt w:val="decimal"/>
      <w:lvlText w:val=""/>
      <w:lvlJc w:val="left"/>
    </w:lvl>
    <w:lvl w:ilvl="6" w:tplc="903E002C">
      <w:numFmt w:val="decimal"/>
      <w:lvlText w:val=""/>
      <w:lvlJc w:val="left"/>
    </w:lvl>
    <w:lvl w:ilvl="7" w:tplc="CE3099D4">
      <w:numFmt w:val="decimal"/>
      <w:lvlText w:val=""/>
      <w:lvlJc w:val="left"/>
    </w:lvl>
    <w:lvl w:ilvl="8" w:tplc="C7A46032">
      <w:numFmt w:val="decimal"/>
      <w:lvlText w:val=""/>
      <w:lvlJc w:val="left"/>
    </w:lvl>
  </w:abstractNum>
  <w:abstractNum w:abstractNumId="8" w15:restartNumberingAfterBreak="0">
    <w:nsid w:val="6E156A4D"/>
    <w:multiLevelType w:val="hybridMultilevel"/>
    <w:tmpl w:val="D66C715E"/>
    <w:lvl w:ilvl="0" w:tplc="9D00B01C">
      <w:start w:val="1"/>
      <w:numFmt w:val="decimal"/>
      <w:lvlText w:val="%1"/>
      <w:lvlJc w:val="center"/>
      <w:pPr>
        <w:ind w:left="380" w:hanging="250"/>
      </w:pPr>
      <w:rPr>
        <w:b/>
        <w:bCs/>
        <w:color w:val="FFFFFF"/>
      </w:rPr>
    </w:lvl>
    <w:lvl w:ilvl="1" w:tplc="90FC91BE">
      <w:numFmt w:val="decimal"/>
      <w:lvlText w:val=""/>
      <w:lvlJc w:val="left"/>
    </w:lvl>
    <w:lvl w:ilvl="2" w:tplc="BB54FDB2">
      <w:numFmt w:val="decimal"/>
      <w:lvlText w:val=""/>
      <w:lvlJc w:val="left"/>
    </w:lvl>
    <w:lvl w:ilvl="3" w:tplc="23CA6F08">
      <w:numFmt w:val="decimal"/>
      <w:lvlText w:val=""/>
      <w:lvlJc w:val="left"/>
    </w:lvl>
    <w:lvl w:ilvl="4" w:tplc="18FA7C88">
      <w:numFmt w:val="decimal"/>
      <w:lvlText w:val=""/>
      <w:lvlJc w:val="left"/>
    </w:lvl>
    <w:lvl w:ilvl="5" w:tplc="D27C8FC0">
      <w:numFmt w:val="decimal"/>
      <w:lvlText w:val=""/>
      <w:lvlJc w:val="left"/>
    </w:lvl>
    <w:lvl w:ilvl="6" w:tplc="40F0917A">
      <w:numFmt w:val="decimal"/>
      <w:lvlText w:val=""/>
      <w:lvlJc w:val="left"/>
    </w:lvl>
    <w:lvl w:ilvl="7" w:tplc="82F21A54">
      <w:numFmt w:val="decimal"/>
      <w:lvlText w:val=""/>
      <w:lvlJc w:val="left"/>
    </w:lvl>
    <w:lvl w:ilvl="8" w:tplc="471C82D6">
      <w:numFmt w:val="decimal"/>
      <w:lvlText w:val=""/>
      <w:lvlJc w:val="left"/>
    </w:lvl>
  </w:abstractNum>
  <w:abstractNum w:abstractNumId="9" w15:restartNumberingAfterBreak="0">
    <w:nsid w:val="6E4765E5"/>
    <w:multiLevelType w:val="hybridMultilevel"/>
    <w:tmpl w:val="C194C314"/>
    <w:lvl w:ilvl="0" w:tplc="9244AD70">
      <w:start w:val="1"/>
      <w:numFmt w:val="bullet"/>
      <w:lvlText w:val="●"/>
      <w:lvlJc w:val="left"/>
      <w:pPr>
        <w:ind w:left="720" w:hanging="360"/>
      </w:pPr>
    </w:lvl>
    <w:lvl w:ilvl="1" w:tplc="2794E4A6">
      <w:start w:val="1"/>
      <w:numFmt w:val="bullet"/>
      <w:lvlText w:val="○"/>
      <w:lvlJc w:val="left"/>
      <w:pPr>
        <w:ind w:left="1440" w:hanging="360"/>
      </w:pPr>
    </w:lvl>
    <w:lvl w:ilvl="2" w:tplc="5B0436DC">
      <w:start w:val="1"/>
      <w:numFmt w:val="bullet"/>
      <w:lvlText w:val="■"/>
      <w:lvlJc w:val="left"/>
      <w:pPr>
        <w:ind w:left="2160" w:hanging="360"/>
      </w:pPr>
    </w:lvl>
    <w:lvl w:ilvl="3" w:tplc="DF9E462A">
      <w:start w:val="1"/>
      <w:numFmt w:val="bullet"/>
      <w:lvlText w:val="●"/>
      <w:lvlJc w:val="left"/>
      <w:pPr>
        <w:ind w:left="2880" w:hanging="360"/>
      </w:pPr>
    </w:lvl>
    <w:lvl w:ilvl="4" w:tplc="059438C0">
      <w:start w:val="1"/>
      <w:numFmt w:val="bullet"/>
      <w:lvlText w:val="○"/>
      <w:lvlJc w:val="left"/>
      <w:pPr>
        <w:ind w:left="3600" w:hanging="360"/>
      </w:pPr>
    </w:lvl>
    <w:lvl w:ilvl="5" w:tplc="A4000C7A">
      <w:start w:val="1"/>
      <w:numFmt w:val="bullet"/>
      <w:lvlText w:val="■"/>
      <w:lvlJc w:val="left"/>
      <w:pPr>
        <w:ind w:left="4320" w:hanging="360"/>
      </w:pPr>
    </w:lvl>
    <w:lvl w:ilvl="6" w:tplc="EB92E322">
      <w:start w:val="1"/>
      <w:numFmt w:val="bullet"/>
      <w:lvlText w:val="●"/>
      <w:lvlJc w:val="left"/>
      <w:pPr>
        <w:ind w:left="5040" w:hanging="360"/>
      </w:pPr>
    </w:lvl>
    <w:lvl w:ilvl="7" w:tplc="36B40390">
      <w:start w:val="1"/>
      <w:numFmt w:val="bullet"/>
      <w:lvlText w:val="●"/>
      <w:lvlJc w:val="left"/>
      <w:pPr>
        <w:ind w:left="5760" w:hanging="360"/>
      </w:pPr>
    </w:lvl>
    <w:lvl w:ilvl="8" w:tplc="240E898E">
      <w:start w:val="1"/>
      <w:numFmt w:val="bullet"/>
      <w:lvlText w:val="●"/>
      <w:lvlJc w:val="left"/>
      <w:pPr>
        <w:ind w:left="6480" w:hanging="360"/>
      </w:pPr>
    </w:lvl>
  </w:abstractNum>
  <w:abstractNum w:abstractNumId="10" w15:restartNumberingAfterBreak="0">
    <w:nsid w:val="780B1E85"/>
    <w:multiLevelType w:val="hybridMultilevel"/>
    <w:tmpl w:val="093698EC"/>
    <w:lvl w:ilvl="0" w:tplc="17883350">
      <w:start w:val="1"/>
      <w:numFmt w:val="bullet"/>
      <w:lvlText w:val="•"/>
      <w:lvlJc w:val="left"/>
      <w:pPr>
        <w:ind w:left="320" w:hanging="210"/>
      </w:pPr>
      <w:rPr>
        <w:color w:val="2E75B6"/>
      </w:rPr>
    </w:lvl>
    <w:lvl w:ilvl="1" w:tplc="DF78BC48">
      <w:numFmt w:val="decimal"/>
      <w:lvlText w:val=""/>
      <w:lvlJc w:val="left"/>
    </w:lvl>
    <w:lvl w:ilvl="2" w:tplc="A72CB5FE">
      <w:numFmt w:val="decimal"/>
      <w:lvlText w:val=""/>
      <w:lvlJc w:val="left"/>
    </w:lvl>
    <w:lvl w:ilvl="3" w:tplc="47725E66">
      <w:numFmt w:val="decimal"/>
      <w:lvlText w:val=""/>
      <w:lvlJc w:val="left"/>
    </w:lvl>
    <w:lvl w:ilvl="4" w:tplc="E6FC043E">
      <w:numFmt w:val="decimal"/>
      <w:lvlText w:val=""/>
      <w:lvlJc w:val="left"/>
    </w:lvl>
    <w:lvl w:ilvl="5" w:tplc="FA425A6C">
      <w:numFmt w:val="decimal"/>
      <w:lvlText w:val=""/>
      <w:lvlJc w:val="left"/>
    </w:lvl>
    <w:lvl w:ilvl="6" w:tplc="4C1C5F06">
      <w:numFmt w:val="decimal"/>
      <w:lvlText w:val=""/>
      <w:lvlJc w:val="left"/>
    </w:lvl>
    <w:lvl w:ilvl="7" w:tplc="D6BEBFDE">
      <w:numFmt w:val="decimal"/>
      <w:lvlText w:val=""/>
      <w:lvlJc w:val="left"/>
    </w:lvl>
    <w:lvl w:ilvl="8" w:tplc="239ECC62">
      <w:numFmt w:val="decimal"/>
      <w:lvlText w:val=""/>
      <w:lvlJc w:val="left"/>
    </w:lvl>
  </w:abstractNum>
  <w:num w:numId="1" w16cid:durableId="224217521">
    <w:abstractNumId w:val="9"/>
    <w:lvlOverride w:ilvl="0">
      <w:startOverride w:val="1"/>
    </w:lvlOverride>
  </w:num>
  <w:num w:numId="2" w16cid:durableId="1727754537">
    <w:abstractNumId w:val="6"/>
    <w:lvlOverride w:ilvl="0">
      <w:startOverride w:val="1"/>
    </w:lvlOverride>
  </w:num>
  <w:num w:numId="3" w16cid:durableId="2134908404">
    <w:abstractNumId w:val="4"/>
    <w:lvlOverride w:ilvl="0">
      <w:startOverride w:val="1"/>
    </w:lvlOverride>
  </w:num>
  <w:num w:numId="4" w16cid:durableId="332998238">
    <w:abstractNumId w:val="10"/>
    <w:lvlOverride w:ilvl="0">
      <w:startOverride w:val="1"/>
    </w:lvlOverride>
  </w:num>
  <w:num w:numId="5" w16cid:durableId="1354267416">
    <w:abstractNumId w:val="0"/>
    <w:lvlOverride w:ilvl="0">
      <w:startOverride w:val="1"/>
    </w:lvlOverride>
  </w:num>
  <w:num w:numId="6" w16cid:durableId="1830293735">
    <w:abstractNumId w:val="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E4B"/>
    <w:rsid w:val="000F6E0E"/>
    <w:rsid w:val="002A4E4B"/>
    <w:rsid w:val="00435D73"/>
    <w:rsid w:val="00E70C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CC066"/>
  <w15:docId w15:val="{45E62D4D-0D95-4B0C-B53E-38F908AB3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2B3640"/>
        <w:sz w:val="21"/>
        <w:szCs w:val="21"/>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981</Words>
  <Characters>5593</Characters>
  <Application>Microsoft Office Word</Application>
  <DocSecurity>0</DocSecurity>
  <Lines>46</Lines>
  <Paragraphs>13</Paragraphs>
  <ScaleCrop>false</ScaleCrop>
  <Company/>
  <LinksUpToDate>false</LinksUpToDate>
  <CharactersWithSpaces>6561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3</cp:revision>
  <dcterms:created xsi:type="dcterms:W3CDTF">2026-06-19T14:20:00Z</dcterms:created>
  <dcterms:modified xsi:type="dcterms:W3CDTF">2026-06-19T17:08:00Z</dcterms:modified>
</cp:coreProperties>
</file>