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9746"/>
      </w:tblGrid>
      <w:tr w:rsidR="00FE73A7" w14:paraId="5239FF73" w14:textId="77777777">
        <w:tblPrEx>
          <w:tblCellMar>
            <w:top w:w="0" w:type="dxa"/>
            <w:bottom w:w="0" w:type="dxa"/>
          </w:tblCellMar>
        </w:tblPrEx>
        <w:tc>
          <w:tcPr>
            <w:tcW w:w="9746" w:type="dxa"/>
            <w:shd w:val="clear" w:color="auto" w:fill="E2661A"/>
            <w:tcMar>
              <w:top w:w="110" w:type="dxa"/>
              <w:left w:w="200" w:type="dxa"/>
              <w:bottom w:w="110" w:type="dxa"/>
              <w:right w:w="200" w:type="dxa"/>
            </w:tcMar>
          </w:tcPr>
          <w:p w14:paraId="1F1DB874" w14:textId="77777777" w:rsidR="00FE73A7" w:rsidRDefault="00000000">
            <w:r>
              <w:rPr>
                <w:b/>
                <w:bCs/>
                <w:color w:val="FFFFFF"/>
                <w:spacing w:val="40"/>
                <w:sz w:val="26"/>
                <w:szCs w:val="26"/>
              </w:rPr>
              <w:t>BRADFORD VTS TEACHING AIDS</w:t>
            </w:r>
          </w:p>
        </w:tc>
      </w:tr>
    </w:tbl>
    <w:p w14:paraId="1609B94B" w14:textId="77777777" w:rsidR="00FE73A7" w:rsidRDefault="00FE73A7">
      <w:pPr>
        <w:spacing w:after="60"/>
      </w:pPr>
    </w:p>
    <w:p w14:paraId="0E1635E9" w14:textId="77777777" w:rsidR="00FE73A7" w:rsidRDefault="00000000">
      <w:pPr>
        <w:keepNext/>
        <w:spacing w:before="60" w:after="30" w:line="320" w:lineRule="auto"/>
      </w:pPr>
      <w:r>
        <w:rPr>
          <w:b/>
          <w:bCs/>
          <w:color w:val="1F2A36"/>
          <w:sz w:val="48"/>
          <w:szCs w:val="48"/>
        </w:rPr>
        <w:t>Rheumatoid Arthritis</w:t>
      </w:r>
    </w:p>
    <w:p w14:paraId="051EDFF3" w14:textId="77777777" w:rsidR="00FE73A7" w:rsidRDefault="00FE73A7">
      <w:pPr>
        <w:pBdr>
          <w:bottom w:val="single" w:sz="22" w:space="1" w:color="B0392E"/>
        </w:pBdr>
        <w:spacing w:after="60"/>
      </w:pPr>
    </w:p>
    <w:p w14:paraId="0C821884" w14:textId="77777777" w:rsidR="00FE73A7" w:rsidRDefault="00000000">
      <w:pPr>
        <w:tabs>
          <w:tab w:val="right" w:pos="9746"/>
        </w:tabs>
        <w:spacing w:before="40" w:after="200"/>
      </w:pPr>
      <w:r>
        <w:rPr>
          <w:b/>
          <w:bCs/>
          <w:color w:val="B0392E"/>
          <w:spacing w:val="12"/>
          <w:sz w:val="20"/>
          <w:szCs w:val="20"/>
        </w:rPr>
        <w:t xml:space="preserve">MSK Teaching </w:t>
      </w:r>
      <w:proofErr w:type="gramStart"/>
      <w:r>
        <w:rPr>
          <w:b/>
          <w:bCs/>
          <w:color w:val="B0392E"/>
          <w:spacing w:val="12"/>
          <w:sz w:val="20"/>
          <w:szCs w:val="20"/>
        </w:rPr>
        <w:t>Series  ·</w:t>
      </w:r>
      <w:proofErr w:type="gramEnd"/>
      <w:r>
        <w:rPr>
          <w:b/>
          <w:bCs/>
          <w:color w:val="B0392E"/>
          <w:spacing w:val="12"/>
          <w:sz w:val="20"/>
          <w:szCs w:val="20"/>
        </w:rPr>
        <w:t xml:space="preserve">  For GP Trainees &amp; IMGs</w:t>
      </w:r>
      <w:r>
        <w:rPr>
          <w:b/>
          <w:bCs/>
          <w:color w:val="5A636E"/>
          <w:sz w:val="20"/>
          <w:szCs w:val="20"/>
        </w:rPr>
        <w:tab/>
        <w:t>June 2026</w:t>
      </w:r>
    </w:p>
    <w:tbl>
      <w:tblPr>
        <w:tblW w:w="9746" w:type="dxa"/>
        <w:tblInd w:w="-35" w:type="dxa"/>
        <w:tblBorders>
          <w:top w:val="single" w:sz="2" w:space="0" w:color="2EA057"/>
          <w:left w:val="single" w:sz="28" w:space="0" w:color="2EA057"/>
          <w:bottom w:val="single" w:sz="2" w:space="0" w:color="2EA057"/>
          <w:right w:val="single" w:sz="2" w:space="0" w:color="2EA057"/>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
        <w:gridCol w:w="25"/>
        <w:gridCol w:w="9651"/>
        <w:gridCol w:w="35"/>
      </w:tblGrid>
      <w:tr w:rsidR="00FE73A7" w14:paraId="1865ADDE" w14:textId="77777777">
        <w:tblPrEx>
          <w:tblCellMar>
            <w:top w:w="0" w:type="dxa"/>
            <w:bottom w:w="0" w:type="dxa"/>
          </w:tblCellMar>
        </w:tblPrEx>
        <w:trPr>
          <w:gridBefore w:val="1"/>
          <w:wBefore w:w="35" w:type="dxa"/>
          <w:cantSplit/>
        </w:trPr>
        <w:tc>
          <w:tcPr>
            <w:tcW w:w="9746" w:type="dxa"/>
            <w:gridSpan w:val="3"/>
            <w:shd w:val="clear" w:color="auto" w:fill="E8F5EC"/>
            <w:tcMar>
              <w:top w:w="110" w:type="dxa"/>
              <w:left w:w="200" w:type="dxa"/>
              <w:bottom w:w="110" w:type="dxa"/>
              <w:right w:w="160" w:type="dxa"/>
            </w:tcMar>
          </w:tcPr>
          <w:p w14:paraId="75F32C02" w14:textId="77777777" w:rsidR="00FE73A7" w:rsidRDefault="00000000">
            <w:pPr>
              <w:spacing w:after="70" w:line="248" w:lineRule="auto"/>
            </w:pPr>
            <w:proofErr w:type="gramStart"/>
            <w:r>
              <w:rPr>
                <w:b/>
                <w:bCs/>
                <w:color w:val="1E7A40"/>
              </w:rPr>
              <w:t>✓  In</w:t>
            </w:r>
            <w:proofErr w:type="gramEnd"/>
            <w:r>
              <w:rPr>
                <w:b/>
                <w:bCs/>
                <w:color w:val="1E7A40"/>
              </w:rPr>
              <w:t xml:space="preserve"> a nutshell</w:t>
            </w:r>
          </w:p>
          <w:p w14:paraId="0CEC4171" w14:textId="77777777" w:rsidR="00FE73A7" w:rsidRDefault="00000000">
            <w:pPr>
              <w:spacing w:after="60" w:line="252" w:lineRule="auto"/>
            </w:pPr>
            <w:r>
              <w:rPr>
                <w:b/>
                <w:bCs/>
              </w:rPr>
              <w:t>Rheumatoid arthritis (RA) is a chronic autoimmune inflammatory arthritis. Caught early, its whole future can be changed.</w:t>
            </w:r>
          </w:p>
          <w:p w14:paraId="5E973124" w14:textId="77777777" w:rsidR="00FE73A7" w:rsidRDefault="00000000">
            <w:pPr>
              <w:spacing w:after="60" w:line="252" w:lineRule="auto"/>
            </w:pPr>
            <w:r>
              <w:rPr>
                <w:b/>
                <w:bCs/>
              </w:rPr>
              <w:t>There is a window of opportunity</w:t>
            </w:r>
            <w:r>
              <w:t xml:space="preserve"> in the first weeks: starting a disease-modifying drug (DMARD) early can switch the disease into low activity and prevent joint damage.</w:t>
            </w:r>
          </w:p>
          <w:p w14:paraId="6945088B" w14:textId="77777777" w:rsidR="00FE73A7" w:rsidRDefault="00000000">
            <w:pPr>
              <w:spacing w:line="252" w:lineRule="auto"/>
            </w:pPr>
            <w:r>
              <w:rPr>
                <w:b/>
                <w:bCs/>
              </w:rPr>
              <w:t xml:space="preserve">Your three jobs in primary care: </w:t>
            </w:r>
            <w:r>
              <w:t>(1) spot inflammatory arthritis early, (2) refer urgently — before the bloods are back, and (3) support the patient long-term (drug monitoring, heart and bone health, flares).</w:t>
            </w:r>
          </w:p>
        </w:tc>
      </w:tr>
      <w:tr w:rsidR="00FE73A7" w14:paraId="2A18BAF3"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B0392E"/>
            <w:tcMar>
              <w:top w:w="0" w:type="dxa"/>
              <w:left w:w="0" w:type="dxa"/>
              <w:bottom w:w="0" w:type="dxa"/>
              <w:right w:w="0" w:type="dxa"/>
            </w:tcMar>
          </w:tcPr>
          <w:p w14:paraId="0FCBCA4F" w14:textId="77777777" w:rsidR="00FE73A7" w:rsidRDefault="00FE73A7"/>
        </w:tc>
        <w:tc>
          <w:tcPr>
            <w:tcW w:w="9686" w:type="dxa"/>
            <w:shd w:val="clear" w:color="auto" w:fill="F4F6F8"/>
            <w:tcMar>
              <w:top w:w="70" w:type="dxa"/>
              <w:left w:w="150" w:type="dxa"/>
              <w:bottom w:w="70" w:type="dxa"/>
              <w:right w:w="120" w:type="dxa"/>
            </w:tcMar>
            <w:vAlign w:val="center"/>
          </w:tcPr>
          <w:p w14:paraId="181CF611" w14:textId="77777777" w:rsidR="00FE73A7" w:rsidRDefault="00000000">
            <w:pPr>
              <w:spacing w:line="252" w:lineRule="auto"/>
            </w:pPr>
            <w:r>
              <w:rPr>
                <w:b/>
                <w:bCs/>
                <w:color w:val="21303D"/>
                <w:sz w:val="27"/>
                <w:szCs w:val="27"/>
              </w:rPr>
              <w:t>The family of inflammatory arthritis</w:t>
            </w:r>
          </w:p>
        </w:tc>
      </w:tr>
    </w:tbl>
    <w:p w14:paraId="11C8CEC7" w14:textId="77777777" w:rsidR="00FE73A7" w:rsidRDefault="00000000">
      <w:pPr>
        <w:spacing w:after="120" w:line="264" w:lineRule="auto"/>
      </w:pPr>
      <w:r>
        <w:t>RA is one member of a wider family. Recognising the pattern matters more than memorising the labels.</w:t>
      </w:r>
    </w:p>
    <w:tbl>
      <w:tblPr>
        <w:tblW w:w="974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
        <w:gridCol w:w="3140"/>
        <w:gridCol w:w="6546"/>
      </w:tblGrid>
      <w:tr w:rsidR="00FE73A7" w14:paraId="35E42651" w14:textId="77777777">
        <w:tblPrEx>
          <w:tblCellMar>
            <w:top w:w="0" w:type="dxa"/>
            <w:bottom w:w="0" w:type="dxa"/>
          </w:tblCellMar>
        </w:tblPrEx>
        <w:trPr>
          <w:cantSplit/>
          <w:tblHeader/>
        </w:trPr>
        <w:tc>
          <w:tcPr>
            <w:tcW w:w="3200" w:type="dxa"/>
            <w:gridSpan w:val="2"/>
            <w:tcBorders>
              <w:top w:val="single" w:sz="4" w:space="0" w:color="B0392E"/>
              <w:left w:val="single" w:sz="4" w:space="0" w:color="B0392E"/>
              <w:bottom w:val="single" w:sz="4" w:space="0" w:color="B0392E"/>
              <w:right w:val="single" w:sz="4" w:space="0" w:color="B0392E"/>
            </w:tcBorders>
            <w:shd w:val="clear" w:color="auto" w:fill="B0392E"/>
            <w:tcMar>
              <w:top w:w="60" w:type="dxa"/>
              <w:left w:w="130" w:type="dxa"/>
              <w:bottom w:w="60" w:type="dxa"/>
              <w:right w:w="110" w:type="dxa"/>
            </w:tcMar>
            <w:vAlign w:val="center"/>
          </w:tcPr>
          <w:p w14:paraId="5FB15B3E" w14:textId="77777777" w:rsidR="00FE73A7" w:rsidRDefault="00000000">
            <w:pPr>
              <w:spacing w:line="248" w:lineRule="auto"/>
            </w:pPr>
            <w:r>
              <w:rPr>
                <w:b/>
                <w:bCs/>
                <w:color w:val="FFFFFF"/>
                <w:sz w:val="20"/>
                <w:szCs w:val="20"/>
              </w:rPr>
              <w:t>Type</w:t>
            </w:r>
          </w:p>
        </w:tc>
        <w:tc>
          <w:tcPr>
            <w:tcW w:w="6546" w:type="dxa"/>
            <w:tcBorders>
              <w:top w:val="single" w:sz="4" w:space="0" w:color="B0392E"/>
              <w:left w:val="single" w:sz="4" w:space="0" w:color="B0392E"/>
              <w:bottom w:val="single" w:sz="4" w:space="0" w:color="B0392E"/>
              <w:right w:val="single" w:sz="4" w:space="0" w:color="B0392E"/>
            </w:tcBorders>
            <w:shd w:val="clear" w:color="auto" w:fill="B0392E"/>
            <w:tcMar>
              <w:top w:w="60" w:type="dxa"/>
              <w:left w:w="130" w:type="dxa"/>
              <w:bottom w:w="60" w:type="dxa"/>
              <w:right w:w="110" w:type="dxa"/>
            </w:tcMar>
            <w:vAlign w:val="center"/>
          </w:tcPr>
          <w:p w14:paraId="32064725" w14:textId="77777777" w:rsidR="00FE73A7" w:rsidRDefault="00000000">
            <w:pPr>
              <w:spacing w:line="248" w:lineRule="auto"/>
            </w:pPr>
            <w:r>
              <w:rPr>
                <w:b/>
                <w:bCs/>
                <w:color w:val="FFFFFF"/>
                <w:sz w:val="20"/>
                <w:szCs w:val="20"/>
              </w:rPr>
              <w:t>Key point</w:t>
            </w:r>
          </w:p>
        </w:tc>
      </w:tr>
      <w:tr w:rsidR="00FE73A7" w14:paraId="1E0CC20A" w14:textId="77777777">
        <w:tblPrEx>
          <w:tblCellMar>
            <w:top w:w="0" w:type="dxa"/>
            <w:bottom w:w="0" w:type="dxa"/>
          </w:tblCellMar>
        </w:tblPrEx>
        <w:trPr>
          <w:cantSplit/>
        </w:trPr>
        <w:tc>
          <w:tcPr>
            <w:tcW w:w="3200" w:type="dxa"/>
            <w:gridSpan w:val="2"/>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0C9EBD08" w14:textId="77777777" w:rsidR="00FE73A7" w:rsidRDefault="00000000">
            <w:pPr>
              <w:spacing w:line="248" w:lineRule="auto"/>
            </w:pPr>
            <w:r>
              <w:rPr>
                <w:b/>
                <w:bCs/>
                <w:sz w:val="20"/>
                <w:szCs w:val="20"/>
              </w:rPr>
              <w:t>Early undifferentiated arthritis</w:t>
            </w:r>
          </w:p>
        </w:tc>
        <w:tc>
          <w:tcPr>
            <w:tcW w:w="65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40C699F2" w14:textId="77777777" w:rsidR="00FE73A7" w:rsidRDefault="00000000">
            <w:pPr>
              <w:spacing w:line="248" w:lineRule="auto"/>
            </w:pPr>
            <w:r>
              <w:rPr>
                <w:sz w:val="20"/>
                <w:szCs w:val="20"/>
              </w:rPr>
              <w:t>Genuine inflammation, too early to classify — refer, don't wait.</w:t>
            </w:r>
          </w:p>
        </w:tc>
      </w:tr>
      <w:tr w:rsidR="00FE73A7" w14:paraId="59F66ABC" w14:textId="77777777">
        <w:tblPrEx>
          <w:tblCellMar>
            <w:top w:w="0" w:type="dxa"/>
            <w:bottom w:w="0" w:type="dxa"/>
          </w:tblCellMar>
        </w:tblPrEx>
        <w:trPr>
          <w:cantSplit/>
        </w:trPr>
        <w:tc>
          <w:tcPr>
            <w:tcW w:w="3200" w:type="dxa"/>
            <w:gridSpan w:val="2"/>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6A7CCD66" w14:textId="77777777" w:rsidR="00FE73A7" w:rsidRDefault="00000000">
            <w:pPr>
              <w:spacing w:line="248" w:lineRule="auto"/>
            </w:pPr>
            <w:r>
              <w:rPr>
                <w:b/>
                <w:bCs/>
                <w:sz w:val="20"/>
                <w:szCs w:val="20"/>
              </w:rPr>
              <w:t>Rheumatoid arthritis</w:t>
            </w:r>
          </w:p>
        </w:tc>
        <w:tc>
          <w:tcPr>
            <w:tcW w:w="65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50E0C51B" w14:textId="77777777" w:rsidR="00FE73A7" w:rsidRDefault="00000000">
            <w:pPr>
              <w:spacing w:line="248" w:lineRule="auto"/>
            </w:pPr>
            <w:r>
              <w:rPr>
                <w:sz w:val="20"/>
                <w:szCs w:val="20"/>
              </w:rPr>
              <w:t>Symmetrical small-joint synovitis; positive RF / anti-CCP in most.</w:t>
            </w:r>
          </w:p>
        </w:tc>
      </w:tr>
      <w:tr w:rsidR="00FE73A7" w14:paraId="2B1B6C9B" w14:textId="77777777">
        <w:tblPrEx>
          <w:tblCellMar>
            <w:top w:w="0" w:type="dxa"/>
            <w:bottom w:w="0" w:type="dxa"/>
          </w:tblCellMar>
        </w:tblPrEx>
        <w:trPr>
          <w:cantSplit/>
        </w:trPr>
        <w:tc>
          <w:tcPr>
            <w:tcW w:w="3200" w:type="dxa"/>
            <w:gridSpan w:val="2"/>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5D69848A" w14:textId="77777777" w:rsidR="00FE73A7" w:rsidRDefault="00000000">
            <w:pPr>
              <w:spacing w:line="248" w:lineRule="auto"/>
            </w:pPr>
            <w:r>
              <w:rPr>
                <w:b/>
                <w:bCs/>
                <w:sz w:val="20"/>
                <w:szCs w:val="20"/>
              </w:rPr>
              <w:t>Seronegative RA</w:t>
            </w:r>
          </w:p>
        </w:tc>
        <w:tc>
          <w:tcPr>
            <w:tcW w:w="65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340E7E98" w14:textId="77777777" w:rsidR="00FE73A7" w:rsidRDefault="00000000">
            <w:pPr>
              <w:spacing w:line="248" w:lineRule="auto"/>
            </w:pPr>
            <w:r>
              <w:rPr>
                <w:sz w:val="20"/>
                <w:szCs w:val="20"/>
              </w:rPr>
              <w:t>Behaves like RA but RF and anti-CCP are negative.</w:t>
            </w:r>
          </w:p>
        </w:tc>
      </w:tr>
      <w:tr w:rsidR="00FE73A7" w14:paraId="2FA625E6" w14:textId="77777777">
        <w:tblPrEx>
          <w:tblCellMar>
            <w:top w:w="0" w:type="dxa"/>
            <w:bottom w:w="0" w:type="dxa"/>
          </w:tblCellMar>
        </w:tblPrEx>
        <w:trPr>
          <w:cantSplit/>
        </w:trPr>
        <w:tc>
          <w:tcPr>
            <w:tcW w:w="3200" w:type="dxa"/>
            <w:gridSpan w:val="2"/>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5622328D" w14:textId="77777777" w:rsidR="00FE73A7" w:rsidRDefault="00000000">
            <w:pPr>
              <w:spacing w:line="248" w:lineRule="auto"/>
            </w:pPr>
            <w:r>
              <w:rPr>
                <w:b/>
                <w:bCs/>
                <w:sz w:val="20"/>
                <w:szCs w:val="20"/>
              </w:rPr>
              <w:t>Spondyloarthropathies</w:t>
            </w:r>
          </w:p>
        </w:tc>
        <w:tc>
          <w:tcPr>
            <w:tcW w:w="65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78FA268F" w14:textId="77777777" w:rsidR="00FE73A7" w:rsidRDefault="00000000">
            <w:pPr>
              <w:spacing w:line="248" w:lineRule="auto"/>
            </w:pPr>
            <w:r>
              <w:rPr>
                <w:sz w:val="20"/>
                <w:szCs w:val="20"/>
              </w:rPr>
              <w:t>Psoriatic, reactive, IBD-associated and ankylosing spondylitis.</w:t>
            </w:r>
          </w:p>
        </w:tc>
      </w:tr>
      <w:tr w:rsidR="00FE73A7" w14:paraId="1493A7ED" w14:textId="77777777">
        <w:tblPrEx>
          <w:tblCellMar>
            <w:top w:w="0" w:type="dxa"/>
            <w:bottom w:w="0" w:type="dxa"/>
          </w:tblCellMar>
        </w:tblPrEx>
        <w:trPr>
          <w:cantSplit/>
        </w:trPr>
        <w:tc>
          <w:tcPr>
            <w:tcW w:w="3200" w:type="dxa"/>
            <w:gridSpan w:val="2"/>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1408BC67" w14:textId="77777777" w:rsidR="00FE73A7" w:rsidRDefault="00000000">
            <w:pPr>
              <w:spacing w:line="248" w:lineRule="auto"/>
            </w:pPr>
            <w:r>
              <w:rPr>
                <w:b/>
                <w:bCs/>
                <w:sz w:val="20"/>
                <w:szCs w:val="20"/>
              </w:rPr>
              <w:t>Crystal arthropathies</w:t>
            </w:r>
          </w:p>
        </w:tc>
        <w:tc>
          <w:tcPr>
            <w:tcW w:w="65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2E3078B6" w14:textId="77777777" w:rsidR="00FE73A7" w:rsidRDefault="00000000">
            <w:pPr>
              <w:spacing w:line="248" w:lineRule="auto"/>
            </w:pPr>
            <w:r>
              <w:rPr>
                <w:sz w:val="20"/>
                <w:szCs w:val="20"/>
              </w:rPr>
              <w:t>Gout &amp; pseudogout — managed in primary care; refer only if difficult.</w:t>
            </w:r>
          </w:p>
        </w:tc>
      </w:tr>
      <w:tr w:rsidR="00FE73A7" w14:paraId="7DEB3011"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c>
          <w:tcPr>
            <w:tcW w:w="60" w:type="dxa"/>
            <w:shd w:val="clear" w:color="auto" w:fill="B0392E"/>
            <w:tcMar>
              <w:top w:w="0" w:type="dxa"/>
              <w:left w:w="0" w:type="dxa"/>
              <w:bottom w:w="0" w:type="dxa"/>
              <w:right w:w="0" w:type="dxa"/>
            </w:tcMar>
          </w:tcPr>
          <w:p w14:paraId="7F9DDF59" w14:textId="77777777" w:rsidR="00FE73A7" w:rsidRDefault="00FE73A7"/>
        </w:tc>
        <w:tc>
          <w:tcPr>
            <w:tcW w:w="9686" w:type="dxa"/>
            <w:gridSpan w:val="2"/>
            <w:shd w:val="clear" w:color="auto" w:fill="F4F6F8"/>
            <w:tcMar>
              <w:top w:w="70" w:type="dxa"/>
              <w:left w:w="150" w:type="dxa"/>
              <w:bottom w:w="70" w:type="dxa"/>
              <w:right w:w="120" w:type="dxa"/>
            </w:tcMar>
            <w:vAlign w:val="center"/>
          </w:tcPr>
          <w:p w14:paraId="668E58A2" w14:textId="77777777" w:rsidR="00FE73A7" w:rsidRDefault="00000000">
            <w:pPr>
              <w:spacing w:line="252" w:lineRule="auto"/>
            </w:pPr>
            <w:proofErr w:type="gramStart"/>
            <w:r>
              <w:rPr>
                <w:b/>
                <w:bCs/>
                <w:color w:val="21303D"/>
                <w:sz w:val="27"/>
                <w:szCs w:val="27"/>
              </w:rPr>
              <w:t>Recognise  ·</w:t>
            </w:r>
            <w:proofErr w:type="gramEnd"/>
            <w:r>
              <w:rPr>
                <w:b/>
                <w:bCs/>
                <w:color w:val="21303D"/>
                <w:sz w:val="27"/>
                <w:szCs w:val="27"/>
              </w:rPr>
              <w:t xml:space="preserve">  Inflammatory or osteoarthritis?</w:t>
            </w:r>
          </w:p>
        </w:tc>
      </w:tr>
    </w:tbl>
    <w:p w14:paraId="429FE7A0" w14:textId="77777777" w:rsidR="00FE73A7" w:rsidRDefault="00000000">
      <w:pPr>
        <w:spacing w:after="120" w:line="264" w:lineRule="auto"/>
      </w:pPr>
      <w:r>
        <w:t>Confusingly, osteoarthritis (OA) can also produce hot, swollen finger joints. Use the pattern to tell them apart.</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73"/>
        <w:gridCol w:w="4873"/>
      </w:tblGrid>
      <w:tr w:rsidR="00FE73A7" w14:paraId="7B65FD1B" w14:textId="77777777">
        <w:tblPrEx>
          <w:tblCellMar>
            <w:top w:w="0" w:type="dxa"/>
            <w:bottom w:w="0" w:type="dxa"/>
          </w:tblCellMar>
        </w:tblPrEx>
        <w:trPr>
          <w:cantSplit/>
          <w:tblHeader/>
        </w:trPr>
        <w:tc>
          <w:tcPr>
            <w:tcW w:w="4873" w:type="dxa"/>
            <w:tcBorders>
              <w:top w:val="single" w:sz="4" w:space="0" w:color="B0392E"/>
              <w:left w:val="single" w:sz="4" w:space="0" w:color="B0392E"/>
              <w:bottom w:val="single" w:sz="4" w:space="0" w:color="B0392E"/>
              <w:right w:val="single" w:sz="4" w:space="0" w:color="B0392E"/>
            </w:tcBorders>
            <w:shd w:val="clear" w:color="auto" w:fill="B0392E"/>
            <w:tcMar>
              <w:top w:w="60" w:type="dxa"/>
              <w:left w:w="130" w:type="dxa"/>
              <w:bottom w:w="60" w:type="dxa"/>
              <w:right w:w="110" w:type="dxa"/>
            </w:tcMar>
            <w:vAlign w:val="center"/>
          </w:tcPr>
          <w:p w14:paraId="0B85AAE3" w14:textId="77777777" w:rsidR="00FE73A7" w:rsidRDefault="00FE73A7">
            <w:pPr>
              <w:spacing w:line="248" w:lineRule="auto"/>
            </w:pPr>
          </w:p>
        </w:tc>
        <w:tc>
          <w:tcPr>
            <w:tcW w:w="4873" w:type="dxa"/>
            <w:tcBorders>
              <w:top w:val="single" w:sz="4" w:space="0" w:color="B0392E"/>
              <w:left w:val="single" w:sz="4" w:space="0" w:color="B0392E"/>
              <w:bottom w:val="single" w:sz="4" w:space="0" w:color="B0392E"/>
              <w:right w:val="single" w:sz="4" w:space="0" w:color="B0392E"/>
            </w:tcBorders>
            <w:shd w:val="clear" w:color="auto" w:fill="B0392E"/>
            <w:tcMar>
              <w:top w:w="60" w:type="dxa"/>
              <w:left w:w="130" w:type="dxa"/>
              <w:bottom w:w="60" w:type="dxa"/>
              <w:right w:w="110" w:type="dxa"/>
            </w:tcMar>
            <w:vAlign w:val="center"/>
          </w:tcPr>
          <w:p w14:paraId="21F97E10" w14:textId="77777777" w:rsidR="00FE73A7" w:rsidRDefault="00000000">
            <w:pPr>
              <w:spacing w:line="248" w:lineRule="auto"/>
            </w:pPr>
            <w:r>
              <w:rPr>
                <w:b/>
                <w:bCs/>
                <w:color w:val="FFFFFF"/>
                <w:sz w:val="20"/>
                <w:szCs w:val="20"/>
              </w:rPr>
              <w:t>Points to OSTEOARTHRITIS</w:t>
            </w:r>
          </w:p>
        </w:tc>
      </w:tr>
      <w:tr w:rsidR="00FE73A7" w14:paraId="783F18BE"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12ABF816" w14:textId="77777777" w:rsidR="00FE73A7" w:rsidRDefault="00000000">
            <w:pPr>
              <w:spacing w:line="248" w:lineRule="auto"/>
            </w:pPr>
            <w:r>
              <w:rPr>
                <w:sz w:val="20"/>
                <w:szCs w:val="20"/>
              </w:rPr>
              <w:t>Sudden onset; symmetrical / bilateral</w:t>
            </w:r>
          </w:p>
        </w:tc>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6A592075" w14:textId="77777777" w:rsidR="00FE73A7" w:rsidRDefault="00000000">
            <w:pPr>
              <w:spacing w:line="248" w:lineRule="auto"/>
            </w:pPr>
            <w:r>
              <w:rPr>
                <w:sz w:val="20"/>
                <w:szCs w:val="20"/>
              </w:rPr>
              <w:t>Middle-aged to elderly; OA elsewhere</w:t>
            </w:r>
          </w:p>
        </w:tc>
      </w:tr>
      <w:tr w:rsidR="00FE73A7" w14:paraId="51E993D1"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27A534F9" w14:textId="77777777" w:rsidR="00FE73A7" w:rsidRDefault="00000000">
            <w:pPr>
              <w:spacing w:line="248" w:lineRule="auto"/>
            </w:pPr>
            <w:r>
              <w:rPr>
                <w:sz w:val="20"/>
                <w:szCs w:val="20"/>
              </w:rPr>
              <w:t>Small joints — MCPs, MTPs, wrists</w:t>
            </w:r>
          </w:p>
        </w:tc>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07EE095B" w14:textId="77777777" w:rsidR="00FE73A7" w:rsidRDefault="00000000">
            <w:pPr>
              <w:spacing w:line="248" w:lineRule="auto"/>
            </w:pPr>
            <w:r>
              <w:rPr>
                <w:sz w:val="20"/>
                <w:szCs w:val="20"/>
              </w:rPr>
              <w:t>DIP joints; Heberden's &amp; Bouchard's nodes</w:t>
            </w:r>
          </w:p>
        </w:tc>
      </w:tr>
      <w:tr w:rsidR="00FE73A7" w14:paraId="3B770864"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08D895C4" w14:textId="77777777" w:rsidR="00FE73A7" w:rsidRDefault="00000000">
            <w:pPr>
              <w:spacing w:line="248" w:lineRule="auto"/>
            </w:pPr>
            <w:r>
              <w:rPr>
                <w:sz w:val="20"/>
                <w:szCs w:val="20"/>
              </w:rPr>
              <w:t>Morning stiffness lasting &gt; 30 minutes</w:t>
            </w:r>
          </w:p>
        </w:tc>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7F635B3" w14:textId="77777777" w:rsidR="00FE73A7" w:rsidRDefault="00000000">
            <w:pPr>
              <w:spacing w:line="248" w:lineRule="auto"/>
            </w:pPr>
            <w:r>
              <w:rPr>
                <w:sz w:val="20"/>
                <w:szCs w:val="20"/>
              </w:rPr>
              <w:t>Use-related pain; little/short stiffness</w:t>
            </w:r>
          </w:p>
        </w:tc>
      </w:tr>
      <w:tr w:rsidR="00FE73A7" w14:paraId="5D1CA29B"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6089C19D" w14:textId="77777777" w:rsidR="00FE73A7" w:rsidRDefault="00000000">
            <w:pPr>
              <w:spacing w:line="248" w:lineRule="auto"/>
            </w:pPr>
            <w:r>
              <w:rPr>
                <w:sz w:val="20"/>
                <w:szCs w:val="20"/>
              </w:rPr>
              <w:t>Systemic upset — fatigue, fever, sweats, weight loss</w:t>
            </w:r>
          </w:p>
        </w:tc>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1FD58359" w14:textId="77777777" w:rsidR="00FE73A7" w:rsidRDefault="00000000">
            <w:pPr>
              <w:spacing w:line="248" w:lineRule="auto"/>
            </w:pPr>
            <w:r>
              <w:rPr>
                <w:sz w:val="20"/>
                <w:szCs w:val="20"/>
              </w:rPr>
              <w:t>Crepitus, bony enlargement, reduced movement</w:t>
            </w:r>
          </w:p>
        </w:tc>
      </w:tr>
      <w:tr w:rsidR="00FE73A7" w14:paraId="13229C83"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2E96F3C5" w14:textId="77777777" w:rsidR="00FE73A7" w:rsidRDefault="00000000">
            <w:pPr>
              <w:spacing w:line="248" w:lineRule="auto"/>
            </w:pPr>
            <w:r>
              <w:rPr>
                <w:sz w:val="20"/>
                <w:szCs w:val="20"/>
              </w:rPr>
              <w:t>Raised ESR/CRP; normocytic anaemia; family history of autoimmunity</w:t>
            </w:r>
          </w:p>
        </w:tc>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0128FC6" w14:textId="77777777" w:rsidR="00FE73A7" w:rsidRDefault="00000000">
            <w:pPr>
              <w:spacing w:line="248" w:lineRule="auto"/>
            </w:pPr>
            <w:r>
              <w:rPr>
                <w:sz w:val="20"/>
                <w:szCs w:val="20"/>
              </w:rPr>
              <w:t>Inflammatory markers normal</w:t>
            </w:r>
          </w:p>
        </w:tc>
      </w:tr>
      <w:tr w:rsidR="00FE73A7" w14:paraId="0FC3F02C"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31DB118D" w14:textId="77777777" w:rsidR="00FE73A7" w:rsidRDefault="00000000">
            <w:pPr>
              <w:spacing w:line="248" w:lineRule="auto"/>
            </w:pPr>
            <w:r>
              <w:rPr>
                <w:b/>
                <w:bCs/>
                <w:sz w:val="20"/>
                <w:szCs w:val="20"/>
              </w:rPr>
              <w:t>Pain on squeezing across the MCPs / MTPs (the “squeeze test”)</w:t>
            </w:r>
          </w:p>
        </w:tc>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3C3D1E66" w14:textId="77777777" w:rsidR="00FE73A7" w:rsidRDefault="00000000">
            <w:pPr>
              <w:spacing w:line="248" w:lineRule="auto"/>
            </w:pPr>
            <w:r>
              <w:rPr>
                <w:sz w:val="20"/>
                <w:szCs w:val="20"/>
              </w:rPr>
              <w:t>—</w:t>
            </w:r>
          </w:p>
        </w:tc>
      </w:tr>
    </w:tbl>
    <w:p w14:paraId="1C7B8CAE" w14:textId="77777777" w:rsidR="002B0493" w:rsidRDefault="002B0493">
      <w:pPr>
        <w:keepNext/>
        <w:keepLines/>
        <w:spacing w:before="200" w:after="90" w:line="252" w:lineRule="auto"/>
        <w:rPr>
          <w:color w:val="B0392E"/>
          <w:sz w:val="24"/>
          <w:szCs w:val="24"/>
        </w:rPr>
      </w:pPr>
    </w:p>
    <w:p w14:paraId="43E3AA3E" w14:textId="77777777" w:rsidR="002B0493" w:rsidRDefault="002B0493">
      <w:pPr>
        <w:rPr>
          <w:color w:val="B0392E"/>
          <w:sz w:val="24"/>
          <w:szCs w:val="24"/>
        </w:rPr>
      </w:pPr>
      <w:r>
        <w:rPr>
          <w:color w:val="B0392E"/>
          <w:sz w:val="24"/>
          <w:szCs w:val="24"/>
        </w:rPr>
        <w:br w:type="page"/>
      </w:r>
    </w:p>
    <w:p w14:paraId="6AE1758A" w14:textId="4AD0B605" w:rsidR="00FE73A7" w:rsidRDefault="00000000">
      <w:pPr>
        <w:keepNext/>
        <w:keepLines/>
        <w:spacing w:before="200" w:after="90" w:line="252" w:lineRule="auto"/>
      </w:pPr>
      <w:r>
        <w:rPr>
          <w:color w:val="B0392E"/>
          <w:sz w:val="24"/>
          <w:szCs w:val="24"/>
        </w:rPr>
        <w:lastRenderedPageBreak/>
        <w:t>▍</w:t>
      </w:r>
      <w:r>
        <w:rPr>
          <w:b/>
          <w:bCs/>
          <w:color w:val="21303D"/>
          <w:sz w:val="23"/>
          <w:szCs w:val="23"/>
        </w:rPr>
        <w:t xml:space="preserve"> Investigations</w:t>
      </w:r>
    </w:p>
    <w:p w14:paraId="666719C1" w14:textId="77777777" w:rsidR="00FE73A7" w:rsidRDefault="00000000">
      <w:pPr>
        <w:pStyle w:val="ListParagraph"/>
        <w:numPr>
          <w:ilvl w:val="0"/>
          <w:numId w:val="2"/>
        </w:numPr>
        <w:spacing w:after="60" w:line="252" w:lineRule="auto"/>
      </w:pPr>
      <w:r>
        <w:rPr>
          <w:b/>
          <w:bCs/>
        </w:rPr>
        <w:t xml:space="preserve">Baseline bloods: </w:t>
      </w:r>
      <w:r>
        <w:t>FBC, ESR, CRP, U&amp;E, LFT, bone profile. (ESR and CRP can take time to rise — normal markers don't exclude RA.)</w:t>
      </w:r>
    </w:p>
    <w:p w14:paraId="1C53ED3D" w14:textId="77777777" w:rsidR="00FE73A7" w:rsidRDefault="00000000">
      <w:pPr>
        <w:pStyle w:val="ListParagraph"/>
        <w:numPr>
          <w:ilvl w:val="0"/>
          <w:numId w:val="2"/>
        </w:numPr>
        <w:spacing w:after="60" w:line="252" w:lineRule="auto"/>
      </w:pPr>
      <w:r>
        <w:rPr>
          <w:b/>
          <w:bCs/>
        </w:rPr>
        <w:t xml:space="preserve">RF: </w:t>
      </w:r>
      <w:r>
        <w:t>sensitivity ~70%, specificity ~80% — so a negative result is wrong about 30% of the time.</w:t>
      </w:r>
    </w:p>
    <w:p w14:paraId="5AC0F4C1" w14:textId="77777777" w:rsidR="00FE73A7" w:rsidRDefault="00000000">
      <w:pPr>
        <w:pStyle w:val="ListParagraph"/>
        <w:numPr>
          <w:ilvl w:val="0"/>
          <w:numId w:val="2"/>
        </w:numPr>
        <w:spacing w:after="60" w:line="252" w:lineRule="auto"/>
      </w:pPr>
      <w:r>
        <w:rPr>
          <w:b/>
          <w:bCs/>
        </w:rPr>
        <w:t xml:space="preserve">Anti-CCP: </w:t>
      </w:r>
      <w:r>
        <w:t xml:space="preserve">similar sensitivity to RF but far more specific (~95%) — a positive anti-CCP is much more </w:t>
      </w:r>
      <w:proofErr w:type="gramStart"/>
      <w:r>
        <w:t>meaningful, and</w:t>
      </w:r>
      <w:proofErr w:type="gramEnd"/>
      <w:r>
        <w:t xml:space="preserve"> predicts erosive disease.</w:t>
      </w:r>
    </w:p>
    <w:p w14:paraId="377A87C6" w14:textId="77777777" w:rsidR="00FE73A7" w:rsidRDefault="00000000">
      <w:pPr>
        <w:pStyle w:val="ListParagraph"/>
        <w:numPr>
          <w:ilvl w:val="0"/>
          <w:numId w:val="2"/>
        </w:numPr>
        <w:spacing w:after="60" w:line="252" w:lineRule="auto"/>
      </w:pPr>
      <w:r>
        <w:rPr>
          <w:b/>
          <w:bCs/>
        </w:rPr>
        <w:t xml:space="preserve">Urate </w:t>
      </w:r>
      <w:r>
        <w:t>if gout is possible (check at least 2 weeks after an acute attack).</w:t>
      </w:r>
    </w:p>
    <w:p w14:paraId="72B793D7" w14:textId="77777777" w:rsidR="00FE73A7" w:rsidRDefault="00000000">
      <w:pPr>
        <w:pStyle w:val="ListParagraph"/>
        <w:numPr>
          <w:ilvl w:val="0"/>
          <w:numId w:val="2"/>
        </w:numPr>
        <w:spacing w:after="60" w:line="252" w:lineRule="auto"/>
      </w:pPr>
      <w:r>
        <w:rPr>
          <w:b/>
          <w:bCs/>
        </w:rPr>
        <w:t xml:space="preserve">X-rays </w:t>
      </w:r>
      <w:r>
        <w:t>only if symptoms have lasted &gt; 6 months — earlier than that, changes have not yet appeared.</w:t>
      </w:r>
    </w:p>
    <w:tbl>
      <w:tblPr>
        <w:tblW w:w="9746" w:type="dxa"/>
        <w:tblInd w:w="-35" w:type="dxa"/>
        <w:tblBorders>
          <w:top w:val="single" w:sz="2" w:space="0" w:color="D34747"/>
          <w:left w:val="single" w:sz="28" w:space="0" w:color="D34747"/>
          <w:bottom w:val="single" w:sz="2" w:space="0" w:color="D34747"/>
          <w:right w:val="single" w:sz="2" w:space="0" w:color="D34747"/>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5"/>
        <w:gridCol w:w="25"/>
        <w:gridCol w:w="9651"/>
        <w:gridCol w:w="35"/>
      </w:tblGrid>
      <w:tr w:rsidR="00FE73A7" w14:paraId="66366E7D" w14:textId="77777777">
        <w:tblPrEx>
          <w:tblCellMar>
            <w:top w:w="0" w:type="dxa"/>
            <w:bottom w:w="0" w:type="dxa"/>
          </w:tblCellMar>
        </w:tblPrEx>
        <w:trPr>
          <w:gridBefore w:val="1"/>
          <w:wBefore w:w="35" w:type="dxa"/>
          <w:cantSplit/>
        </w:trPr>
        <w:tc>
          <w:tcPr>
            <w:tcW w:w="9746" w:type="dxa"/>
            <w:gridSpan w:val="3"/>
            <w:shd w:val="clear" w:color="auto" w:fill="FBEAEA"/>
            <w:tcMar>
              <w:top w:w="110" w:type="dxa"/>
              <w:left w:w="200" w:type="dxa"/>
              <w:bottom w:w="110" w:type="dxa"/>
              <w:right w:w="160" w:type="dxa"/>
            </w:tcMar>
          </w:tcPr>
          <w:p w14:paraId="07AF81F1" w14:textId="77777777" w:rsidR="00FE73A7" w:rsidRDefault="00000000">
            <w:pPr>
              <w:spacing w:after="70" w:line="248" w:lineRule="auto"/>
            </w:pPr>
            <w:proofErr w:type="gramStart"/>
            <w:r>
              <w:rPr>
                <w:b/>
                <w:bCs/>
                <w:color w:val="B02A2A"/>
              </w:rPr>
              <w:t>▲  Refer</w:t>
            </w:r>
            <w:proofErr w:type="gramEnd"/>
            <w:r>
              <w:rPr>
                <w:b/>
                <w:bCs/>
                <w:color w:val="B02A2A"/>
              </w:rPr>
              <w:t xml:space="preserve"> URGENTLY — do not wait for the bloods</w:t>
            </w:r>
          </w:p>
          <w:p w14:paraId="73189E24" w14:textId="77777777" w:rsidR="00FE73A7" w:rsidRDefault="00000000">
            <w:pPr>
              <w:spacing w:after="60" w:line="252" w:lineRule="auto"/>
            </w:pPr>
            <w:r>
              <w:rPr>
                <w:b/>
                <w:bCs/>
                <w:color w:val="B02A2A"/>
              </w:rPr>
              <w:t>Refer anyone with suspected persistent synovitis</w:t>
            </w:r>
            <w:r>
              <w:t xml:space="preserve"> — particularly if small joints, several joints, or a positive anti-CCP are involved — to rheumatology urgently.</w:t>
            </w:r>
          </w:p>
          <w:p w14:paraId="1277AFA3" w14:textId="77777777" w:rsidR="00FE73A7" w:rsidRDefault="00000000">
            <w:pPr>
              <w:spacing w:after="60" w:line="252" w:lineRule="auto"/>
            </w:pPr>
            <w:r>
              <w:rPr>
                <w:b/>
                <w:bCs/>
              </w:rPr>
              <w:t>Negative blood tests do NOT exclude RA.</w:t>
            </w:r>
            <w:r>
              <w:t xml:space="preserve"> Refer on clinical suspicion. Starting a DMARD within the first weeks gives the best long-term outcome.</w:t>
            </w:r>
          </w:p>
          <w:p w14:paraId="1499AAB4" w14:textId="77777777" w:rsidR="00FE73A7" w:rsidRDefault="00000000">
            <w:pPr>
              <w:spacing w:line="252" w:lineRule="auto"/>
            </w:pPr>
            <w:r>
              <w:t>If there will be a long wait, a short bridging course of steroid may be used per your local pathway — and always tell rheumatology you have done so.</w:t>
            </w:r>
          </w:p>
        </w:tc>
      </w:tr>
      <w:tr w:rsidR="00FE73A7" w14:paraId="145744ED"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B0392E"/>
            <w:tcMar>
              <w:top w:w="0" w:type="dxa"/>
              <w:left w:w="0" w:type="dxa"/>
              <w:bottom w:w="0" w:type="dxa"/>
              <w:right w:w="0" w:type="dxa"/>
            </w:tcMar>
          </w:tcPr>
          <w:p w14:paraId="5139ACF7" w14:textId="77777777" w:rsidR="00FE73A7" w:rsidRDefault="00FE73A7"/>
        </w:tc>
        <w:tc>
          <w:tcPr>
            <w:tcW w:w="9686" w:type="dxa"/>
            <w:shd w:val="clear" w:color="auto" w:fill="F4F6F8"/>
            <w:tcMar>
              <w:top w:w="70" w:type="dxa"/>
              <w:left w:w="150" w:type="dxa"/>
              <w:bottom w:w="70" w:type="dxa"/>
              <w:right w:w="120" w:type="dxa"/>
            </w:tcMar>
            <w:vAlign w:val="center"/>
          </w:tcPr>
          <w:p w14:paraId="2CAD6DBA" w14:textId="77777777" w:rsidR="00FE73A7" w:rsidRDefault="00000000">
            <w:pPr>
              <w:spacing w:line="252" w:lineRule="auto"/>
            </w:pPr>
            <w:proofErr w:type="gramStart"/>
            <w:r>
              <w:rPr>
                <w:b/>
                <w:bCs/>
                <w:color w:val="21303D"/>
                <w:sz w:val="27"/>
                <w:szCs w:val="27"/>
              </w:rPr>
              <w:t>Act  ·</w:t>
            </w:r>
            <w:proofErr w:type="gramEnd"/>
            <w:r>
              <w:rPr>
                <w:b/>
                <w:bCs/>
                <w:color w:val="21303D"/>
                <w:sz w:val="27"/>
                <w:szCs w:val="27"/>
              </w:rPr>
              <w:t xml:space="preserve">  Long-term treatment</w:t>
            </w:r>
          </w:p>
        </w:tc>
      </w:tr>
    </w:tbl>
    <w:p w14:paraId="72FBEF18" w14:textId="77777777" w:rsidR="00FE73A7" w:rsidRDefault="00000000">
      <w:pPr>
        <w:spacing w:after="120" w:line="264" w:lineRule="auto"/>
      </w:pPr>
      <w:r>
        <w:t xml:space="preserve">RA is now treated </w:t>
      </w:r>
      <w:r>
        <w:rPr>
          <w:b/>
          <w:bCs/>
        </w:rPr>
        <w:t>treat-to-target</w:t>
      </w:r>
      <w:r>
        <w:t xml:space="preserve"> — aiming for remission, or low disease activity if remission can't be reached, with regular specialist review.</w:t>
      </w:r>
    </w:p>
    <w:p w14:paraId="461051FF" w14:textId="77777777" w:rsidR="00FE73A7" w:rsidRDefault="00000000">
      <w:pPr>
        <w:pStyle w:val="ListParagraph"/>
        <w:numPr>
          <w:ilvl w:val="0"/>
          <w:numId w:val="2"/>
        </w:numPr>
        <w:spacing w:after="60" w:line="252" w:lineRule="auto"/>
      </w:pPr>
      <w:r>
        <w:rPr>
          <w:b/>
          <w:bCs/>
        </w:rPr>
        <w:t xml:space="preserve">First-line is a SINGLE conventional DMARD </w:t>
      </w:r>
      <w:r>
        <w:t>(methotrexate, leflunomide or sulfasalazine; hydroxychloroquine for mild disease) — not combination therapy, which earlier guidance recommended.</w:t>
      </w:r>
    </w:p>
    <w:p w14:paraId="7B267B39" w14:textId="77777777" w:rsidR="00FE73A7" w:rsidRDefault="00000000">
      <w:pPr>
        <w:pStyle w:val="ListParagraph"/>
        <w:numPr>
          <w:ilvl w:val="0"/>
          <w:numId w:val="2"/>
        </w:numPr>
        <w:spacing w:after="60" w:line="252" w:lineRule="auto"/>
      </w:pPr>
      <w:r>
        <w:rPr>
          <w:b/>
          <w:bCs/>
        </w:rPr>
        <w:t xml:space="preserve">Biologic and targeted-synthetic DMARDs </w:t>
      </w:r>
      <w:r>
        <w:t>(e.g. anti-TNF such as adalimumab/etanercept, rituximab; JAK inhibitors) are specialist-started, powerful immunomodulators. Continue only if there is a response at 6 months. Mark them clearly as hospital-prescribed on the GP record.</w:t>
      </w:r>
    </w:p>
    <w:tbl>
      <w:tblPr>
        <w:tblW w:w="9711" w:type="dxa"/>
        <w:tblBorders>
          <w:top w:val="single" w:sz="2" w:space="0" w:color="D34747"/>
          <w:left w:val="single" w:sz="28" w:space="0" w:color="D34747"/>
          <w:bottom w:val="single" w:sz="2" w:space="0" w:color="D34747"/>
          <w:right w:val="single" w:sz="2" w:space="0" w:color="D34747"/>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11"/>
      </w:tblGrid>
      <w:tr w:rsidR="00FE73A7" w14:paraId="4FFADACB" w14:textId="77777777" w:rsidTr="002B0493">
        <w:tblPrEx>
          <w:tblCellMar>
            <w:top w:w="0" w:type="dxa"/>
            <w:bottom w:w="0" w:type="dxa"/>
          </w:tblCellMar>
        </w:tblPrEx>
        <w:trPr>
          <w:cantSplit/>
        </w:trPr>
        <w:tc>
          <w:tcPr>
            <w:tcW w:w="9711" w:type="dxa"/>
            <w:shd w:val="clear" w:color="auto" w:fill="FBEAEA"/>
            <w:tcMar>
              <w:top w:w="110" w:type="dxa"/>
              <w:left w:w="200" w:type="dxa"/>
              <w:bottom w:w="110" w:type="dxa"/>
              <w:right w:w="160" w:type="dxa"/>
            </w:tcMar>
          </w:tcPr>
          <w:p w14:paraId="0E5246E0" w14:textId="77777777" w:rsidR="00FE73A7" w:rsidRDefault="00000000">
            <w:pPr>
              <w:spacing w:after="70" w:line="248" w:lineRule="auto"/>
            </w:pPr>
            <w:proofErr w:type="gramStart"/>
            <w:r>
              <w:rPr>
                <w:b/>
                <w:bCs/>
                <w:color w:val="B02A2A"/>
              </w:rPr>
              <w:t>▲  Methotrexate</w:t>
            </w:r>
            <w:proofErr w:type="gramEnd"/>
            <w:r>
              <w:rPr>
                <w:b/>
                <w:bCs/>
                <w:color w:val="B02A2A"/>
              </w:rPr>
              <w:t xml:space="preserve"> — the safety points that save lives</w:t>
            </w:r>
          </w:p>
          <w:p w14:paraId="0575BAF2" w14:textId="77777777" w:rsidR="00FE73A7" w:rsidRDefault="00000000">
            <w:pPr>
              <w:pStyle w:val="ListParagraph"/>
              <w:numPr>
                <w:ilvl w:val="0"/>
                <w:numId w:val="3"/>
              </w:numPr>
              <w:spacing w:after="50" w:line="248" w:lineRule="auto"/>
            </w:pPr>
            <w:r>
              <w:rPr>
                <w:b/>
                <w:bCs/>
              </w:rPr>
              <w:t>ONCE WEEKLY only</w:t>
            </w:r>
            <w:r>
              <w:t xml:space="preserve"> (typically 7.5–25 mg). Prescribe as 2.5 mg tablets to avoid catastrophic dosing errors.</w:t>
            </w:r>
          </w:p>
          <w:p w14:paraId="109198E7" w14:textId="77777777" w:rsidR="00FE73A7" w:rsidRDefault="00000000">
            <w:pPr>
              <w:pStyle w:val="ListParagraph"/>
              <w:numPr>
                <w:ilvl w:val="0"/>
                <w:numId w:val="3"/>
              </w:numPr>
              <w:spacing w:after="50" w:line="248" w:lineRule="auto"/>
            </w:pPr>
            <w:r>
              <w:rPr>
                <w:b/>
                <w:bCs/>
              </w:rPr>
              <w:t>Folic acid 5 mg once weekly</w:t>
            </w:r>
            <w:r>
              <w:t>, on a different day to the methotrexate.</w:t>
            </w:r>
          </w:p>
          <w:p w14:paraId="3CA3983B" w14:textId="77777777" w:rsidR="00FE73A7" w:rsidRDefault="00000000">
            <w:pPr>
              <w:pStyle w:val="ListParagraph"/>
              <w:numPr>
                <w:ilvl w:val="0"/>
                <w:numId w:val="3"/>
              </w:numPr>
              <w:spacing w:after="50" w:line="248" w:lineRule="auto"/>
            </w:pPr>
            <w:r>
              <w:rPr>
                <w:b/>
                <w:bCs/>
                <w:color w:val="B02A2A"/>
              </w:rPr>
              <w:t>NEVER co-prescribe trimethoprim or co-trimoxazole</w:t>
            </w:r>
            <w:r>
              <w:t xml:space="preserve"> — both are folate antagonists; combined with methotrexate they can cause fatal bone-marrow suppression.</w:t>
            </w:r>
          </w:p>
          <w:p w14:paraId="6B13DFC1" w14:textId="77777777" w:rsidR="00FE73A7" w:rsidRDefault="00000000">
            <w:pPr>
              <w:pStyle w:val="ListParagraph"/>
              <w:numPr>
                <w:ilvl w:val="0"/>
                <w:numId w:val="3"/>
              </w:numPr>
              <w:spacing w:after="50" w:line="248" w:lineRule="auto"/>
            </w:pPr>
            <w:r>
              <w:rPr>
                <w:b/>
                <w:bCs/>
              </w:rPr>
              <w:t>Monitor FBC, U&amp;E and LFTs</w:t>
            </w:r>
            <w:r>
              <w:t xml:space="preserve"> regularly per the local shared-care protocol (frequently at first, then less often once the dose is stable). Recheck FBC one week after any dose change.</w:t>
            </w:r>
          </w:p>
          <w:p w14:paraId="747BE486" w14:textId="77777777" w:rsidR="00FE73A7" w:rsidRDefault="00000000">
            <w:pPr>
              <w:pStyle w:val="ListParagraph"/>
              <w:numPr>
                <w:ilvl w:val="0"/>
                <w:numId w:val="3"/>
              </w:numPr>
              <w:spacing w:line="248" w:lineRule="auto"/>
            </w:pPr>
            <w:r>
              <w:rPr>
                <w:b/>
                <w:bCs/>
              </w:rPr>
              <w:t xml:space="preserve">Withhold and seek advice if: </w:t>
            </w:r>
            <w:r>
              <w:t>infection; WCC &lt; 2 or neutrophils &lt; 1; a falling trend across all FBC lines; ALT/AST &gt; 3× normal; unexplained falling albumin; new breathlessness with a dry cough (pneumonitis?); or a new rash.</w:t>
            </w:r>
          </w:p>
        </w:tc>
      </w:tr>
    </w:tbl>
    <w:p w14:paraId="7552BD59" w14:textId="77777777" w:rsidR="002B0493" w:rsidRDefault="002B0493">
      <w:r>
        <w:br w:type="page"/>
      </w:r>
    </w:p>
    <w:tbl>
      <w:tblPr>
        <w:tblW w:w="9746" w:type="dxa"/>
        <w:tblInd w:w="-35"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60"/>
        <w:gridCol w:w="9686"/>
      </w:tblGrid>
      <w:tr w:rsidR="00FE73A7" w14:paraId="7885DBC8" w14:textId="77777777">
        <w:tblPrEx>
          <w:tblCellMar>
            <w:top w:w="0" w:type="dxa"/>
            <w:bottom w:w="0" w:type="dxa"/>
          </w:tblCellMar>
        </w:tblPrEx>
        <w:tc>
          <w:tcPr>
            <w:tcW w:w="60" w:type="dxa"/>
            <w:shd w:val="clear" w:color="auto" w:fill="B0392E"/>
            <w:tcMar>
              <w:top w:w="0" w:type="dxa"/>
              <w:left w:w="0" w:type="dxa"/>
              <w:bottom w:w="0" w:type="dxa"/>
              <w:right w:w="0" w:type="dxa"/>
            </w:tcMar>
          </w:tcPr>
          <w:p w14:paraId="65A89029" w14:textId="1006F0DB" w:rsidR="00FE73A7" w:rsidRDefault="00FE73A7"/>
        </w:tc>
        <w:tc>
          <w:tcPr>
            <w:tcW w:w="9686" w:type="dxa"/>
            <w:shd w:val="clear" w:color="auto" w:fill="F4F6F8"/>
            <w:tcMar>
              <w:top w:w="70" w:type="dxa"/>
              <w:left w:w="150" w:type="dxa"/>
              <w:bottom w:w="70" w:type="dxa"/>
              <w:right w:w="120" w:type="dxa"/>
            </w:tcMar>
            <w:vAlign w:val="center"/>
          </w:tcPr>
          <w:p w14:paraId="0EAF5CC0" w14:textId="77777777" w:rsidR="00FE73A7" w:rsidRDefault="00000000">
            <w:pPr>
              <w:spacing w:line="252" w:lineRule="auto"/>
            </w:pPr>
            <w:r>
              <w:rPr>
                <w:b/>
                <w:bCs/>
                <w:color w:val="21303D"/>
                <w:sz w:val="27"/>
                <w:szCs w:val="27"/>
              </w:rPr>
              <w:t xml:space="preserve">What primary care </w:t>
            </w:r>
            <w:proofErr w:type="gramStart"/>
            <w:r>
              <w:rPr>
                <w:b/>
                <w:bCs/>
                <w:color w:val="21303D"/>
                <w:sz w:val="27"/>
                <w:szCs w:val="27"/>
              </w:rPr>
              <w:t>owns  ·</w:t>
            </w:r>
            <w:proofErr w:type="gramEnd"/>
            <w:r>
              <w:rPr>
                <w:b/>
                <w:bCs/>
                <w:color w:val="21303D"/>
                <w:sz w:val="27"/>
                <w:szCs w:val="27"/>
              </w:rPr>
              <w:t xml:space="preserve">  The annual review</w:t>
            </w:r>
          </w:p>
        </w:tc>
      </w:tr>
    </w:tbl>
    <w:p w14:paraId="424D840A" w14:textId="77777777" w:rsidR="00FE73A7" w:rsidRDefault="00000000">
      <w:pPr>
        <w:spacing w:after="120" w:line="264" w:lineRule="auto"/>
      </w:pPr>
      <w:r>
        <w:t>Even when the joints are controlled by specialists, the rest of the patient is yours. RA shortens life mainly through heart disease — so the review is largely a cardiovascular and bone clinic.</w:t>
      </w:r>
    </w:p>
    <w:tbl>
      <w:tblPr>
        <w:tblW w:w="974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
        <w:gridCol w:w="2940"/>
        <w:gridCol w:w="6746"/>
      </w:tblGrid>
      <w:tr w:rsidR="00FE73A7" w14:paraId="55F4C88E" w14:textId="77777777">
        <w:tblPrEx>
          <w:tblCellMar>
            <w:top w:w="0" w:type="dxa"/>
            <w:bottom w:w="0" w:type="dxa"/>
          </w:tblCellMar>
        </w:tblPrEx>
        <w:trPr>
          <w:cantSplit/>
          <w:tblHeader/>
        </w:trPr>
        <w:tc>
          <w:tcPr>
            <w:tcW w:w="3000" w:type="dxa"/>
            <w:gridSpan w:val="2"/>
            <w:tcBorders>
              <w:top w:val="single" w:sz="4" w:space="0" w:color="B0392E"/>
              <w:left w:val="single" w:sz="4" w:space="0" w:color="B0392E"/>
              <w:bottom w:val="single" w:sz="4" w:space="0" w:color="B0392E"/>
              <w:right w:val="single" w:sz="4" w:space="0" w:color="B0392E"/>
            </w:tcBorders>
            <w:shd w:val="clear" w:color="auto" w:fill="B0392E"/>
            <w:tcMar>
              <w:top w:w="60" w:type="dxa"/>
              <w:left w:w="130" w:type="dxa"/>
              <w:bottom w:w="60" w:type="dxa"/>
              <w:right w:w="110" w:type="dxa"/>
            </w:tcMar>
            <w:vAlign w:val="center"/>
          </w:tcPr>
          <w:p w14:paraId="32CF3B31" w14:textId="77777777" w:rsidR="00FE73A7" w:rsidRDefault="00000000">
            <w:pPr>
              <w:spacing w:line="248" w:lineRule="auto"/>
            </w:pPr>
            <w:r>
              <w:rPr>
                <w:b/>
                <w:bCs/>
                <w:color w:val="FFFFFF"/>
                <w:sz w:val="20"/>
                <w:szCs w:val="20"/>
              </w:rPr>
              <w:t>Focus</w:t>
            </w:r>
          </w:p>
        </w:tc>
        <w:tc>
          <w:tcPr>
            <w:tcW w:w="6746" w:type="dxa"/>
            <w:tcBorders>
              <w:top w:val="single" w:sz="4" w:space="0" w:color="B0392E"/>
              <w:left w:val="single" w:sz="4" w:space="0" w:color="B0392E"/>
              <w:bottom w:val="single" w:sz="4" w:space="0" w:color="B0392E"/>
              <w:right w:val="single" w:sz="4" w:space="0" w:color="B0392E"/>
            </w:tcBorders>
            <w:shd w:val="clear" w:color="auto" w:fill="B0392E"/>
            <w:tcMar>
              <w:top w:w="60" w:type="dxa"/>
              <w:left w:w="130" w:type="dxa"/>
              <w:bottom w:w="60" w:type="dxa"/>
              <w:right w:w="110" w:type="dxa"/>
            </w:tcMar>
            <w:vAlign w:val="center"/>
          </w:tcPr>
          <w:p w14:paraId="531E8C2F" w14:textId="77777777" w:rsidR="00FE73A7" w:rsidRDefault="00000000">
            <w:pPr>
              <w:spacing w:line="248" w:lineRule="auto"/>
            </w:pPr>
            <w:r>
              <w:rPr>
                <w:b/>
                <w:bCs/>
                <w:color w:val="FFFFFF"/>
                <w:sz w:val="20"/>
                <w:szCs w:val="20"/>
              </w:rPr>
              <w:t>Action</w:t>
            </w:r>
          </w:p>
        </w:tc>
      </w:tr>
      <w:tr w:rsidR="00FE73A7" w14:paraId="03F1C4DB" w14:textId="77777777">
        <w:tblPrEx>
          <w:tblCellMar>
            <w:top w:w="0" w:type="dxa"/>
            <w:bottom w:w="0" w:type="dxa"/>
          </w:tblCellMar>
        </w:tblPrEx>
        <w:trPr>
          <w:cantSplit/>
        </w:trPr>
        <w:tc>
          <w:tcPr>
            <w:tcW w:w="3000" w:type="dxa"/>
            <w:gridSpan w:val="2"/>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2ABED57D" w14:textId="77777777" w:rsidR="00FE73A7" w:rsidRDefault="00000000">
            <w:pPr>
              <w:spacing w:line="248" w:lineRule="auto"/>
            </w:pPr>
            <w:r>
              <w:rPr>
                <w:b/>
                <w:bCs/>
                <w:sz w:val="20"/>
                <w:szCs w:val="20"/>
              </w:rPr>
              <w:t>Heart</w:t>
            </w:r>
          </w:p>
        </w:tc>
        <w:tc>
          <w:tcPr>
            <w:tcW w:w="67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610F772" w14:textId="77777777" w:rsidR="00FE73A7" w:rsidRDefault="00000000">
            <w:pPr>
              <w:spacing w:line="248" w:lineRule="auto"/>
            </w:pPr>
            <w:r>
              <w:rPr>
                <w:b/>
                <w:bCs/>
                <w:sz w:val="20"/>
                <w:szCs w:val="20"/>
              </w:rPr>
              <w:t xml:space="preserve">RA carries cardiovascular risk on a par with diabetes. </w:t>
            </w:r>
            <w:r>
              <w:rPr>
                <w:sz w:val="20"/>
                <w:szCs w:val="20"/>
              </w:rPr>
              <w:t>Assess QRISK3 yearly; treat blood pressure, lipids, weight and smoking hard.</w:t>
            </w:r>
          </w:p>
        </w:tc>
      </w:tr>
      <w:tr w:rsidR="00FE73A7" w14:paraId="05DB62C9" w14:textId="77777777">
        <w:tblPrEx>
          <w:tblCellMar>
            <w:top w:w="0" w:type="dxa"/>
            <w:bottom w:w="0" w:type="dxa"/>
          </w:tblCellMar>
        </w:tblPrEx>
        <w:trPr>
          <w:cantSplit/>
        </w:trPr>
        <w:tc>
          <w:tcPr>
            <w:tcW w:w="3000" w:type="dxa"/>
            <w:gridSpan w:val="2"/>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6D19C386" w14:textId="77777777" w:rsidR="00FE73A7" w:rsidRDefault="00000000">
            <w:pPr>
              <w:spacing w:line="248" w:lineRule="auto"/>
            </w:pPr>
            <w:r>
              <w:rPr>
                <w:b/>
                <w:bCs/>
                <w:sz w:val="20"/>
                <w:szCs w:val="20"/>
              </w:rPr>
              <w:t>Bone</w:t>
            </w:r>
          </w:p>
        </w:tc>
        <w:tc>
          <w:tcPr>
            <w:tcW w:w="67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106ECDD7" w14:textId="77777777" w:rsidR="00FE73A7" w:rsidRDefault="00000000">
            <w:pPr>
              <w:spacing w:line="248" w:lineRule="auto"/>
            </w:pPr>
            <w:r>
              <w:rPr>
                <w:sz w:val="20"/>
                <w:szCs w:val="20"/>
              </w:rPr>
              <w:t>~30% develop osteoporosis (worse on steroids). Assess fracture risk (FRAX); advise exercise, dietary calcium and vitamin D; keep steroids to a minimum.</w:t>
            </w:r>
          </w:p>
        </w:tc>
      </w:tr>
      <w:tr w:rsidR="00FE73A7" w14:paraId="6DB215A4" w14:textId="77777777">
        <w:tblPrEx>
          <w:tblCellMar>
            <w:top w:w="0" w:type="dxa"/>
            <w:bottom w:w="0" w:type="dxa"/>
          </w:tblCellMar>
        </w:tblPrEx>
        <w:trPr>
          <w:cantSplit/>
        </w:trPr>
        <w:tc>
          <w:tcPr>
            <w:tcW w:w="3000" w:type="dxa"/>
            <w:gridSpan w:val="2"/>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4C697CE7" w14:textId="77777777" w:rsidR="00FE73A7" w:rsidRDefault="00000000">
            <w:pPr>
              <w:spacing w:line="248" w:lineRule="auto"/>
            </w:pPr>
            <w:r>
              <w:rPr>
                <w:b/>
                <w:bCs/>
                <w:sz w:val="20"/>
                <w:szCs w:val="20"/>
              </w:rPr>
              <w:t>Mood</w:t>
            </w:r>
          </w:p>
        </w:tc>
        <w:tc>
          <w:tcPr>
            <w:tcW w:w="67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05E9997D" w14:textId="77777777" w:rsidR="00FE73A7" w:rsidRDefault="00000000">
            <w:pPr>
              <w:spacing w:line="248" w:lineRule="auto"/>
            </w:pPr>
            <w:r>
              <w:rPr>
                <w:sz w:val="20"/>
                <w:szCs w:val="20"/>
              </w:rPr>
              <w:t>Screen for depression — chronic pain wears people down.</w:t>
            </w:r>
          </w:p>
        </w:tc>
      </w:tr>
      <w:tr w:rsidR="00FE73A7" w14:paraId="7372C6F5" w14:textId="77777777">
        <w:tblPrEx>
          <w:tblCellMar>
            <w:top w:w="0" w:type="dxa"/>
            <w:bottom w:w="0" w:type="dxa"/>
          </w:tblCellMar>
        </w:tblPrEx>
        <w:trPr>
          <w:cantSplit/>
        </w:trPr>
        <w:tc>
          <w:tcPr>
            <w:tcW w:w="3000" w:type="dxa"/>
            <w:gridSpan w:val="2"/>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63F52E7C" w14:textId="77777777" w:rsidR="00FE73A7" w:rsidRDefault="00000000">
            <w:pPr>
              <w:spacing w:line="248" w:lineRule="auto"/>
            </w:pPr>
            <w:r>
              <w:rPr>
                <w:b/>
                <w:bCs/>
                <w:sz w:val="20"/>
                <w:szCs w:val="20"/>
              </w:rPr>
              <w:t>Fertility</w:t>
            </w:r>
          </w:p>
        </w:tc>
        <w:tc>
          <w:tcPr>
            <w:tcW w:w="67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50053944" w14:textId="77777777" w:rsidR="00FE73A7" w:rsidRDefault="00000000">
            <w:pPr>
              <w:spacing w:line="248" w:lineRule="auto"/>
            </w:pPr>
            <w:r>
              <w:rPr>
                <w:sz w:val="20"/>
                <w:szCs w:val="20"/>
              </w:rPr>
              <w:t>Methotrexate and leflunomide are teratogenic — give contraception / preconception advice to those of child-bearing potential.</w:t>
            </w:r>
          </w:p>
        </w:tc>
      </w:tr>
      <w:tr w:rsidR="00FE73A7" w14:paraId="67267542" w14:textId="77777777">
        <w:tblPrEx>
          <w:tblCellMar>
            <w:top w:w="0" w:type="dxa"/>
            <w:bottom w:w="0" w:type="dxa"/>
          </w:tblCellMar>
        </w:tblPrEx>
        <w:trPr>
          <w:cantSplit/>
        </w:trPr>
        <w:tc>
          <w:tcPr>
            <w:tcW w:w="3000" w:type="dxa"/>
            <w:gridSpan w:val="2"/>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15479C5E" w14:textId="77777777" w:rsidR="00FE73A7" w:rsidRDefault="00000000">
            <w:pPr>
              <w:spacing w:line="248" w:lineRule="auto"/>
            </w:pPr>
            <w:r>
              <w:rPr>
                <w:b/>
                <w:bCs/>
                <w:sz w:val="20"/>
                <w:szCs w:val="20"/>
              </w:rPr>
              <w:t>Infection</w:t>
            </w:r>
          </w:p>
        </w:tc>
        <w:tc>
          <w:tcPr>
            <w:tcW w:w="6746"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7468342" w14:textId="77777777" w:rsidR="00FE73A7" w:rsidRDefault="00000000">
            <w:pPr>
              <w:spacing w:line="248" w:lineRule="auto"/>
            </w:pPr>
            <w:r>
              <w:rPr>
                <w:sz w:val="20"/>
                <w:szCs w:val="20"/>
              </w:rPr>
              <w:t>Offer annual influenza and pneumococcal vaccines; avoid live vaccines while immunosuppressed.</w:t>
            </w:r>
          </w:p>
        </w:tc>
      </w:tr>
      <w:tr w:rsidR="00FE73A7" w14:paraId="1486D37C" w14:textId="77777777">
        <w:tblPrEx>
          <w:tblCellMar>
            <w:top w:w="0" w:type="dxa"/>
            <w:bottom w:w="0" w:type="dxa"/>
          </w:tblCellMar>
        </w:tblPrEx>
        <w:trPr>
          <w:cantSplit/>
        </w:trPr>
        <w:tc>
          <w:tcPr>
            <w:tcW w:w="3000" w:type="dxa"/>
            <w:gridSpan w:val="2"/>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496D4F99" w14:textId="77777777" w:rsidR="00FE73A7" w:rsidRDefault="00000000">
            <w:pPr>
              <w:spacing w:line="248" w:lineRule="auto"/>
            </w:pPr>
            <w:r>
              <w:rPr>
                <w:b/>
                <w:bCs/>
                <w:sz w:val="20"/>
                <w:szCs w:val="20"/>
              </w:rPr>
              <w:t>Disease &amp; drugs</w:t>
            </w:r>
          </w:p>
        </w:tc>
        <w:tc>
          <w:tcPr>
            <w:tcW w:w="6746"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01938CA2" w14:textId="77777777" w:rsidR="00FE73A7" w:rsidRDefault="00000000">
            <w:pPr>
              <w:spacing w:line="248" w:lineRule="auto"/>
            </w:pPr>
            <w:r>
              <w:rPr>
                <w:sz w:val="20"/>
                <w:szCs w:val="20"/>
              </w:rPr>
              <w:t>Check adherence and side effects; review the blood-monitoring trend; reassess the diagnosis if not improving.</w:t>
            </w:r>
          </w:p>
        </w:tc>
      </w:tr>
      <w:tr w:rsidR="00FE73A7" w14:paraId="2FE25FAF"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c>
          <w:tcPr>
            <w:tcW w:w="60" w:type="dxa"/>
            <w:shd w:val="clear" w:color="auto" w:fill="B0392E"/>
            <w:tcMar>
              <w:top w:w="0" w:type="dxa"/>
              <w:left w:w="0" w:type="dxa"/>
              <w:bottom w:w="0" w:type="dxa"/>
              <w:right w:w="0" w:type="dxa"/>
            </w:tcMar>
          </w:tcPr>
          <w:p w14:paraId="136BEB1B" w14:textId="77777777" w:rsidR="00FE73A7" w:rsidRDefault="00FE73A7"/>
        </w:tc>
        <w:tc>
          <w:tcPr>
            <w:tcW w:w="9686" w:type="dxa"/>
            <w:gridSpan w:val="2"/>
            <w:shd w:val="clear" w:color="auto" w:fill="F4F6F8"/>
            <w:tcMar>
              <w:top w:w="70" w:type="dxa"/>
              <w:left w:w="150" w:type="dxa"/>
              <w:bottom w:w="70" w:type="dxa"/>
              <w:right w:w="120" w:type="dxa"/>
            </w:tcMar>
            <w:vAlign w:val="center"/>
          </w:tcPr>
          <w:p w14:paraId="2E272C7C" w14:textId="77777777" w:rsidR="00FE73A7" w:rsidRDefault="00000000">
            <w:pPr>
              <w:spacing w:line="252" w:lineRule="auto"/>
            </w:pPr>
            <w:r>
              <w:rPr>
                <w:b/>
                <w:bCs/>
                <w:color w:val="21303D"/>
                <w:sz w:val="27"/>
                <w:szCs w:val="27"/>
              </w:rPr>
              <w:t>Flares</w:t>
            </w:r>
          </w:p>
        </w:tc>
      </w:tr>
    </w:tbl>
    <w:p w14:paraId="1A7D9B79" w14:textId="77777777" w:rsidR="00FE73A7" w:rsidRDefault="00000000">
      <w:pPr>
        <w:spacing w:after="120" w:line="264" w:lineRule="auto"/>
      </w:pPr>
      <w:r>
        <w:t xml:space="preserve">A flare = acute joint pain, stiffness, heat and loss of function; the patient feels unwell and exhausted. </w:t>
      </w:r>
      <w:r>
        <w:rPr>
          <w:b/>
          <w:bCs/>
        </w:rPr>
        <w:t>Before changing any medication, pause and check:</w:t>
      </w:r>
    </w:p>
    <w:p w14:paraId="5FC23973" w14:textId="77777777" w:rsidR="00FE73A7" w:rsidRDefault="00000000">
      <w:pPr>
        <w:pStyle w:val="ListParagraph"/>
        <w:numPr>
          <w:ilvl w:val="0"/>
          <w:numId w:val="2"/>
        </w:numPr>
        <w:spacing w:after="60" w:line="252" w:lineRule="auto"/>
      </w:pPr>
      <w:r>
        <w:t xml:space="preserve">Is the patient </w:t>
      </w:r>
      <w:proofErr w:type="gramStart"/>
      <w:r>
        <w:t>actually taking</w:t>
      </w:r>
      <w:proofErr w:type="gramEnd"/>
      <w:r>
        <w:t xml:space="preserve"> their medication?</w:t>
      </w:r>
    </w:p>
    <w:p w14:paraId="3922D3B9" w14:textId="77777777" w:rsidR="00FE73A7" w:rsidRDefault="00000000">
      <w:pPr>
        <w:pStyle w:val="ListParagraph"/>
        <w:numPr>
          <w:ilvl w:val="0"/>
          <w:numId w:val="2"/>
        </w:numPr>
        <w:spacing w:after="60" w:line="252" w:lineRule="auto"/>
      </w:pPr>
      <w:r>
        <w:t>Have they recently injured the joint?</w:t>
      </w:r>
    </w:p>
    <w:p w14:paraId="08212166" w14:textId="77777777" w:rsidR="00FE73A7" w:rsidRDefault="00000000">
      <w:pPr>
        <w:pStyle w:val="ListParagraph"/>
        <w:numPr>
          <w:ilvl w:val="0"/>
          <w:numId w:val="2"/>
        </w:numPr>
        <w:spacing w:after="60" w:line="252" w:lineRule="auto"/>
      </w:pPr>
      <w:r>
        <w:rPr>
          <w:b/>
          <w:bCs/>
        </w:rPr>
        <w:t>Is it really a flare? A single hot joint is unusual in RA — think SEPTIC ARTHRITIS</w:t>
      </w:r>
      <w:r>
        <w:t>, especially on immunosuppression. Treat as infection until proven otherwise.</w:t>
      </w:r>
    </w:p>
    <w:tbl>
      <w:tblPr>
        <w:tblW w:w="9746" w:type="dxa"/>
        <w:tblBorders>
          <w:top w:val="single" w:sz="2" w:space="0" w:color="2E75B6"/>
          <w:left w:val="single" w:sz="28" w:space="0" w:color="2E75B6"/>
          <w:bottom w:val="single" w:sz="2" w:space="0" w:color="2E75B6"/>
          <w:right w:val="single" w:sz="2" w:space="0" w:color="2E75B6"/>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746"/>
      </w:tblGrid>
      <w:tr w:rsidR="00FE73A7" w14:paraId="3F7B85E5" w14:textId="77777777">
        <w:tblPrEx>
          <w:tblCellMar>
            <w:top w:w="0" w:type="dxa"/>
            <w:bottom w:w="0" w:type="dxa"/>
          </w:tblCellMar>
        </w:tblPrEx>
        <w:trPr>
          <w:cantSplit/>
        </w:trPr>
        <w:tc>
          <w:tcPr>
            <w:tcW w:w="9746" w:type="dxa"/>
            <w:shd w:val="clear" w:color="auto" w:fill="E9F1FB"/>
            <w:tcMar>
              <w:top w:w="110" w:type="dxa"/>
              <w:left w:w="200" w:type="dxa"/>
              <w:bottom w:w="110" w:type="dxa"/>
              <w:right w:w="160" w:type="dxa"/>
            </w:tcMar>
          </w:tcPr>
          <w:p w14:paraId="7A0AFA94" w14:textId="77777777" w:rsidR="00FE73A7" w:rsidRDefault="00000000">
            <w:pPr>
              <w:spacing w:after="70" w:line="248" w:lineRule="auto"/>
            </w:pPr>
            <w:proofErr w:type="gramStart"/>
            <w:r>
              <w:rPr>
                <w:b/>
                <w:bCs/>
                <w:color w:val="1F5C95"/>
              </w:rPr>
              <w:t>▸  Managing</w:t>
            </w:r>
            <w:proofErr w:type="gramEnd"/>
            <w:r>
              <w:rPr>
                <w:b/>
                <w:bCs/>
                <w:color w:val="1F5C95"/>
              </w:rPr>
              <w:t xml:space="preserve"> a genuine flare</w:t>
            </w:r>
          </w:p>
          <w:p w14:paraId="123BE645" w14:textId="77777777" w:rsidR="00FE73A7" w:rsidRDefault="00000000">
            <w:pPr>
              <w:pStyle w:val="ListParagraph"/>
              <w:numPr>
                <w:ilvl w:val="0"/>
                <w:numId w:val="4"/>
              </w:numPr>
              <w:spacing w:after="50" w:line="248" w:lineRule="auto"/>
            </w:pPr>
            <w:r>
              <w:t>Use the rheumatology helpline (yourself or via the patient).</w:t>
            </w:r>
          </w:p>
          <w:p w14:paraId="1EFDAB20" w14:textId="77777777" w:rsidR="00FE73A7" w:rsidRDefault="00000000">
            <w:pPr>
              <w:pStyle w:val="ListParagraph"/>
              <w:numPr>
                <w:ilvl w:val="0"/>
                <w:numId w:val="4"/>
              </w:numPr>
              <w:spacing w:after="50" w:line="248" w:lineRule="auto"/>
            </w:pPr>
            <w:r>
              <w:t>Increase analgesia and advise relative rest — this often settles it.</w:t>
            </w:r>
          </w:p>
          <w:p w14:paraId="049ABE19" w14:textId="77777777" w:rsidR="00FE73A7" w:rsidRDefault="00000000">
            <w:pPr>
              <w:pStyle w:val="ListParagraph"/>
              <w:numPr>
                <w:ilvl w:val="0"/>
                <w:numId w:val="4"/>
              </w:numPr>
              <w:spacing w:line="248" w:lineRule="auto"/>
            </w:pPr>
            <w:r>
              <w:t>If not, a short steroid course (oral or intramuscular) may be used per local pathway — then tell the rheumatology team.</w:t>
            </w:r>
          </w:p>
        </w:tc>
      </w:tr>
      <w:tr w:rsidR="00FE73A7" w14:paraId="43A3E30D" w14:textId="77777777">
        <w:tblPrEx>
          <w:tblBorders>
            <w:top w:val="single" w:sz="2" w:space="0" w:color="E08600"/>
            <w:left w:val="single" w:sz="28" w:space="0" w:color="E08600"/>
            <w:bottom w:val="single" w:sz="2" w:space="0" w:color="E08600"/>
            <w:right w:val="single" w:sz="2" w:space="0" w:color="E08600"/>
          </w:tblBorders>
          <w:tblCellMar>
            <w:top w:w="0" w:type="dxa"/>
            <w:bottom w:w="0" w:type="dxa"/>
          </w:tblCellMar>
        </w:tblPrEx>
        <w:trPr>
          <w:cantSplit/>
        </w:trPr>
        <w:tc>
          <w:tcPr>
            <w:tcW w:w="9746" w:type="dxa"/>
            <w:shd w:val="clear" w:color="auto" w:fill="FEF4E2"/>
            <w:tcMar>
              <w:top w:w="110" w:type="dxa"/>
              <w:left w:w="200" w:type="dxa"/>
              <w:bottom w:w="110" w:type="dxa"/>
              <w:right w:w="160" w:type="dxa"/>
            </w:tcMar>
          </w:tcPr>
          <w:p w14:paraId="00CC809B" w14:textId="77777777" w:rsidR="00FE73A7" w:rsidRDefault="00000000">
            <w:pPr>
              <w:spacing w:after="70" w:line="248" w:lineRule="auto"/>
            </w:pPr>
            <w:proofErr w:type="gramStart"/>
            <w:r>
              <w:rPr>
                <w:b/>
                <w:bCs/>
                <w:color w:val="9A5B00"/>
              </w:rPr>
              <w:t>◆  What's</w:t>
            </w:r>
            <w:proofErr w:type="gramEnd"/>
            <w:r>
              <w:rPr>
                <w:b/>
                <w:bCs/>
                <w:color w:val="9A5B00"/>
              </w:rPr>
              <w:t xml:space="preserve"> changed from older teaching</w:t>
            </w:r>
          </w:p>
          <w:p w14:paraId="406E68B1" w14:textId="77777777" w:rsidR="00FE73A7" w:rsidRDefault="00000000">
            <w:pPr>
              <w:pStyle w:val="ListParagraph"/>
              <w:numPr>
                <w:ilvl w:val="0"/>
                <w:numId w:val="5"/>
              </w:numPr>
              <w:spacing w:after="50" w:line="248" w:lineRule="auto"/>
            </w:pPr>
            <w:r>
              <w:rPr>
                <w:b/>
                <w:bCs/>
              </w:rPr>
              <w:t>One conventional DMARD first-line</w:t>
            </w:r>
            <w:r>
              <w:t>, not a combination.</w:t>
            </w:r>
          </w:p>
          <w:p w14:paraId="66B3127C" w14:textId="77777777" w:rsidR="00FE73A7" w:rsidRDefault="00000000">
            <w:pPr>
              <w:pStyle w:val="ListParagraph"/>
              <w:numPr>
                <w:ilvl w:val="0"/>
                <w:numId w:val="5"/>
              </w:numPr>
              <w:spacing w:after="50" w:line="248" w:lineRule="auto"/>
            </w:pPr>
            <w:r>
              <w:rPr>
                <w:b/>
                <w:bCs/>
              </w:rPr>
              <w:t>Treat-to-target</w:t>
            </w:r>
            <w:r>
              <w:t xml:space="preserve"> (remission / low disease activity) is now standard.</w:t>
            </w:r>
          </w:p>
          <w:p w14:paraId="7ED90F96" w14:textId="77777777" w:rsidR="00FE73A7" w:rsidRDefault="00000000">
            <w:pPr>
              <w:pStyle w:val="ListParagraph"/>
              <w:numPr>
                <w:ilvl w:val="0"/>
                <w:numId w:val="5"/>
              </w:numPr>
              <w:spacing w:after="50" w:line="248" w:lineRule="auto"/>
            </w:pPr>
            <w:r>
              <w:rPr>
                <w:b/>
                <w:bCs/>
              </w:rPr>
              <w:t>Cardiovascular risk uses QRISK3</w:t>
            </w:r>
            <w:r>
              <w:t xml:space="preserve"> (QRISK2 superseded).</w:t>
            </w:r>
          </w:p>
          <w:p w14:paraId="6837E6F3" w14:textId="77777777" w:rsidR="00FE73A7" w:rsidRDefault="00000000">
            <w:pPr>
              <w:pStyle w:val="ListParagraph"/>
              <w:numPr>
                <w:ilvl w:val="0"/>
                <w:numId w:val="5"/>
              </w:numPr>
              <w:spacing w:line="248" w:lineRule="auto"/>
            </w:pPr>
            <w:r>
              <w:rPr>
                <w:b/>
                <w:bCs/>
              </w:rPr>
              <w:t>Refer on clinical suspicion</w:t>
            </w:r>
            <w:r>
              <w:t xml:space="preserve"> — do not wait for </w:t>
            </w:r>
            <w:proofErr w:type="gramStart"/>
            <w:r>
              <w:t>serology, and</w:t>
            </w:r>
            <w:proofErr w:type="gramEnd"/>
            <w:r>
              <w:t xml:space="preserve"> remember it can be negative.</w:t>
            </w:r>
          </w:p>
        </w:tc>
      </w:tr>
      <w:tr w:rsidR="00FE73A7" w14:paraId="3F5B1816" w14:textId="77777777">
        <w:tblPrEx>
          <w:tblBorders>
            <w:top w:val="single" w:sz="2" w:space="0" w:color="7A4FA3"/>
            <w:left w:val="single" w:sz="28" w:space="0" w:color="7A4FA3"/>
            <w:bottom w:val="single" w:sz="2" w:space="0" w:color="7A4FA3"/>
            <w:right w:val="single" w:sz="2" w:space="0" w:color="7A4FA3"/>
          </w:tblBorders>
          <w:tblCellMar>
            <w:top w:w="0" w:type="dxa"/>
            <w:bottom w:w="0" w:type="dxa"/>
          </w:tblCellMar>
        </w:tblPrEx>
        <w:trPr>
          <w:cantSplit/>
        </w:trPr>
        <w:tc>
          <w:tcPr>
            <w:tcW w:w="9746" w:type="dxa"/>
            <w:shd w:val="clear" w:color="auto" w:fill="F1EAF8"/>
            <w:tcMar>
              <w:top w:w="110" w:type="dxa"/>
              <w:left w:w="200" w:type="dxa"/>
              <w:bottom w:w="110" w:type="dxa"/>
              <w:right w:w="160" w:type="dxa"/>
            </w:tcMar>
          </w:tcPr>
          <w:p w14:paraId="014A3D59" w14:textId="77777777" w:rsidR="00FE73A7" w:rsidRDefault="00000000">
            <w:pPr>
              <w:spacing w:after="70" w:line="248" w:lineRule="auto"/>
            </w:pPr>
            <w:proofErr w:type="gramStart"/>
            <w:r>
              <w:rPr>
                <w:b/>
                <w:bCs/>
                <w:color w:val="5E3A82"/>
              </w:rPr>
              <w:t>■  Disclaimer</w:t>
            </w:r>
            <w:proofErr w:type="gramEnd"/>
            <w:r>
              <w:rPr>
                <w:b/>
                <w:bCs/>
                <w:color w:val="5E3A82"/>
              </w:rPr>
              <w:t xml:space="preserve"> &amp; verification</w:t>
            </w:r>
          </w:p>
          <w:p w14:paraId="182027B9" w14:textId="77777777" w:rsidR="00FE73A7" w:rsidRDefault="00000000">
            <w:pPr>
              <w:spacing w:after="60" w:line="252" w:lineRule="auto"/>
            </w:pPr>
            <w:r>
              <w:rPr>
                <w:b/>
                <w:bCs/>
                <w:color w:val="5E3A82"/>
              </w:rPr>
              <w:t xml:space="preserve">Key sources used for this update: </w:t>
            </w:r>
            <w:r>
              <w:t>NICE NG100 Rheumatoid arthritis in adults (2018, reviewed 2024); NICE CKS Rheumatoid arthritis &amp; DMARDs; BNF / SPS (methotrexate, folic acid, interactions); MHRA Drug Safety Updates.</w:t>
            </w:r>
          </w:p>
          <w:p w14:paraId="24A09404" w14:textId="77777777" w:rsidR="00FE73A7" w:rsidRDefault="00000000">
            <w:pPr>
              <w:spacing w:line="252" w:lineRule="auto"/>
            </w:pPr>
            <w:r>
              <w:t>This document is provided exclusively for educational and training purposes as a teaching aid. It does not constitute formal clinical guidance. Clinicians must independently verify all medical information, prescribing guidance, procedural protocols and legal requirements against current national guidance (e.g. NICE, NICE CKS, BNF), local policies and the relevant regulatory bodies before applying anything in practice.</w:t>
            </w:r>
          </w:p>
        </w:tc>
      </w:tr>
    </w:tbl>
    <w:p w14:paraId="24B7CFC9" w14:textId="77777777" w:rsidR="00B24B8D" w:rsidRDefault="00B24B8D"/>
    <w:sectPr w:rsidR="00B24B8D">
      <w:footerReference w:type="default" r:id="rId7"/>
      <w:pgSz w:w="11906" w:h="16838"/>
      <w:pgMar w:top="1134" w:right="1080" w:bottom="1191" w:left="1080" w:header="680" w:footer="5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B85C1B" w14:textId="77777777" w:rsidR="00B24B8D" w:rsidRDefault="00B24B8D">
      <w:r>
        <w:separator/>
      </w:r>
    </w:p>
  </w:endnote>
  <w:endnote w:type="continuationSeparator" w:id="0">
    <w:p w14:paraId="4A899D50" w14:textId="77777777" w:rsidR="00B24B8D" w:rsidRDefault="00B24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CDF4F" w14:textId="77777777" w:rsidR="00FE73A7" w:rsidRDefault="00FE73A7">
    <w:pPr>
      <w:pBdr>
        <w:top w:val="single" w:sz="8" w:space="4" w:color="E2661A"/>
      </w:pBdr>
      <w:spacing w:before="40" w:after="20"/>
    </w:pPr>
  </w:p>
  <w:p w14:paraId="39DFC6A5" w14:textId="77777777" w:rsidR="00FE73A7" w:rsidRDefault="00000000">
    <w:pPr>
      <w:tabs>
        <w:tab w:val="right" w:pos="9746"/>
      </w:tabs>
      <w:spacing w:line="224" w:lineRule="auto"/>
    </w:pPr>
    <w:r>
      <w:rPr>
        <w:i/>
        <w:iCs/>
        <w:color w:val="5A636E"/>
        <w:sz w:val="14"/>
        <w:szCs w:val="14"/>
      </w:rPr>
      <w:t>Rheumatoid Arthritis — Bradford VTS Teaching Aid</w:t>
    </w:r>
    <w:r>
      <w:rPr>
        <w:sz w:val="14"/>
        <w:szCs w:val="14"/>
      </w:rPr>
      <w:tab/>
    </w:r>
    <w:r>
      <w:rPr>
        <w:color w:val="5A636E"/>
        <w:sz w:val="14"/>
        <w:szCs w:val="14"/>
      </w:rPr>
      <w:t xml:space="preserve">bradfordvts.co.uk   ·   Page </w:t>
    </w:r>
    <w:r>
      <w:rPr>
        <w:b/>
        <w:bCs/>
        <w:color w:val="5A636E"/>
        <w:sz w:val="14"/>
        <w:szCs w:val="14"/>
      </w:rPr>
      <w:fldChar w:fldCharType="begin"/>
    </w:r>
    <w:r>
      <w:rPr>
        <w:b/>
        <w:bCs/>
        <w:color w:val="5A636E"/>
        <w:sz w:val="14"/>
        <w:szCs w:val="14"/>
      </w:rPr>
      <w:instrText>PAGE</w:instrText>
    </w:r>
    <w:r>
      <w:rPr>
        <w:b/>
        <w:bCs/>
        <w:color w:val="5A636E"/>
        <w:sz w:val="14"/>
        <w:szCs w:val="14"/>
      </w:rPr>
      <w:fldChar w:fldCharType="separate"/>
    </w:r>
    <w:r w:rsidR="002B0493">
      <w:rPr>
        <w:b/>
        <w:bCs/>
        <w:noProof/>
        <w:color w:val="5A636E"/>
        <w:sz w:val="14"/>
        <w:szCs w:val="14"/>
      </w:rPr>
      <w:t>1</w:t>
    </w:r>
    <w:r>
      <w:rPr>
        <w:b/>
        <w:bCs/>
        <w:color w:val="5A636E"/>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BEF163" w14:textId="77777777" w:rsidR="00B24B8D" w:rsidRDefault="00B24B8D">
      <w:r>
        <w:separator/>
      </w:r>
    </w:p>
  </w:footnote>
  <w:footnote w:type="continuationSeparator" w:id="0">
    <w:p w14:paraId="078BA4DC" w14:textId="77777777" w:rsidR="00B24B8D" w:rsidRDefault="00B24B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E277F"/>
    <w:multiLevelType w:val="hybridMultilevel"/>
    <w:tmpl w:val="33A6D6A6"/>
    <w:lvl w:ilvl="0" w:tplc="3D0C6FD4">
      <w:start w:val="1"/>
      <w:numFmt w:val="bullet"/>
      <w:lvlText w:val="●"/>
      <w:lvlJc w:val="left"/>
      <w:pPr>
        <w:ind w:left="720" w:hanging="360"/>
      </w:pPr>
    </w:lvl>
    <w:lvl w:ilvl="1" w:tplc="854AD2A8">
      <w:start w:val="1"/>
      <w:numFmt w:val="bullet"/>
      <w:lvlText w:val="○"/>
      <w:lvlJc w:val="left"/>
      <w:pPr>
        <w:ind w:left="1440" w:hanging="360"/>
      </w:pPr>
    </w:lvl>
    <w:lvl w:ilvl="2" w:tplc="25E2AA7C">
      <w:start w:val="1"/>
      <w:numFmt w:val="bullet"/>
      <w:lvlText w:val="■"/>
      <w:lvlJc w:val="left"/>
      <w:pPr>
        <w:ind w:left="2160" w:hanging="360"/>
      </w:pPr>
    </w:lvl>
    <w:lvl w:ilvl="3" w:tplc="0CEC0600">
      <w:start w:val="1"/>
      <w:numFmt w:val="bullet"/>
      <w:lvlText w:val="●"/>
      <w:lvlJc w:val="left"/>
      <w:pPr>
        <w:ind w:left="2880" w:hanging="360"/>
      </w:pPr>
    </w:lvl>
    <w:lvl w:ilvl="4" w:tplc="6AB04374">
      <w:start w:val="1"/>
      <w:numFmt w:val="bullet"/>
      <w:lvlText w:val="○"/>
      <w:lvlJc w:val="left"/>
      <w:pPr>
        <w:ind w:left="3600" w:hanging="360"/>
      </w:pPr>
    </w:lvl>
    <w:lvl w:ilvl="5" w:tplc="3BBC27C8">
      <w:start w:val="1"/>
      <w:numFmt w:val="bullet"/>
      <w:lvlText w:val="■"/>
      <w:lvlJc w:val="left"/>
      <w:pPr>
        <w:ind w:left="4320" w:hanging="360"/>
      </w:pPr>
    </w:lvl>
    <w:lvl w:ilvl="6" w:tplc="690ED8F2">
      <w:start w:val="1"/>
      <w:numFmt w:val="bullet"/>
      <w:lvlText w:val="●"/>
      <w:lvlJc w:val="left"/>
      <w:pPr>
        <w:ind w:left="5040" w:hanging="360"/>
      </w:pPr>
    </w:lvl>
    <w:lvl w:ilvl="7" w:tplc="59604DF4">
      <w:start w:val="1"/>
      <w:numFmt w:val="bullet"/>
      <w:lvlText w:val="●"/>
      <w:lvlJc w:val="left"/>
      <w:pPr>
        <w:ind w:left="5760" w:hanging="360"/>
      </w:pPr>
    </w:lvl>
    <w:lvl w:ilvl="8" w:tplc="FC0A9A42">
      <w:start w:val="1"/>
      <w:numFmt w:val="bullet"/>
      <w:lvlText w:val="●"/>
      <w:lvlJc w:val="left"/>
      <w:pPr>
        <w:ind w:left="6480" w:hanging="360"/>
      </w:pPr>
    </w:lvl>
  </w:abstractNum>
  <w:abstractNum w:abstractNumId="1" w15:restartNumberingAfterBreak="0">
    <w:nsid w:val="12061FA6"/>
    <w:multiLevelType w:val="hybridMultilevel"/>
    <w:tmpl w:val="CF848540"/>
    <w:lvl w:ilvl="0" w:tplc="7624E94A">
      <w:start w:val="1"/>
      <w:numFmt w:val="decimal"/>
      <w:lvlText w:val="%1"/>
      <w:lvlJc w:val="center"/>
      <w:pPr>
        <w:ind w:left="380" w:hanging="250"/>
      </w:pPr>
      <w:rPr>
        <w:b/>
        <w:bCs/>
        <w:color w:val="FFFFFF"/>
      </w:rPr>
    </w:lvl>
    <w:lvl w:ilvl="1" w:tplc="44F494B8">
      <w:numFmt w:val="decimal"/>
      <w:lvlText w:val=""/>
      <w:lvlJc w:val="left"/>
    </w:lvl>
    <w:lvl w:ilvl="2" w:tplc="C34AA6D8">
      <w:numFmt w:val="decimal"/>
      <w:lvlText w:val=""/>
      <w:lvlJc w:val="left"/>
    </w:lvl>
    <w:lvl w:ilvl="3" w:tplc="573AADAC">
      <w:numFmt w:val="decimal"/>
      <w:lvlText w:val=""/>
      <w:lvlJc w:val="left"/>
    </w:lvl>
    <w:lvl w:ilvl="4" w:tplc="0B122660">
      <w:numFmt w:val="decimal"/>
      <w:lvlText w:val=""/>
      <w:lvlJc w:val="left"/>
    </w:lvl>
    <w:lvl w:ilvl="5" w:tplc="86A25D74">
      <w:numFmt w:val="decimal"/>
      <w:lvlText w:val=""/>
      <w:lvlJc w:val="left"/>
    </w:lvl>
    <w:lvl w:ilvl="6" w:tplc="A3E2C092">
      <w:numFmt w:val="decimal"/>
      <w:lvlText w:val=""/>
      <w:lvlJc w:val="left"/>
    </w:lvl>
    <w:lvl w:ilvl="7" w:tplc="2C1A69EE">
      <w:numFmt w:val="decimal"/>
      <w:lvlText w:val=""/>
      <w:lvlJc w:val="left"/>
    </w:lvl>
    <w:lvl w:ilvl="8" w:tplc="6082C6BE">
      <w:numFmt w:val="decimal"/>
      <w:lvlText w:val=""/>
      <w:lvlJc w:val="left"/>
    </w:lvl>
  </w:abstractNum>
  <w:abstractNum w:abstractNumId="2" w15:restartNumberingAfterBreak="0">
    <w:nsid w:val="18A066F8"/>
    <w:multiLevelType w:val="hybridMultilevel"/>
    <w:tmpl w:val="ED8CB46A"/>
    <w:lvl w:ilvl="0" w:tplc="FC526828">
      <w:start w:val="1"/>
      <w:numFmt w:val="bullet"/>
      <w:lvlText w:val="•"/>
      <w:lvlJc w:val="left"/>
      <w:pPr>
        <w:ind w:left="320" w:hanging="210"/>
      </w:pPr>
      <w:rPr>
        <w:color w:val="2E75B6"/>
      </w:rPr>
    </w:lvl>
    <w:lvl w:ilvl="1" w:tplc="31B44C44">
      <w:numFmt w:val="decimal"/>
      <w:lvlText w:val=""/>
      <w:lvlJc w:val="left"/>
    </w:lvl>
    <w:lvl w:ilvl="2" w:tplc="334C47BE">
      <w:numFmt w:val="decimal"/>
      <w:lvlText w:val=""/>
      <w:lvlJc w:val="left"/>
    </w:lvl>
    <w:lvl w:ilvl="3" w:tplc="B2446934">
      <w:numFmt w:val="decimal"/>
      <w:lvlText w:val=""/>
      <w:lvlJc w:val="left"/>
    </w:lvl>
    <w:lvl w:ilvl="4" w:tplc="55B438F6">
      <w:numFmt w:val="decimal"/>
      <w:lvlText w:val=""/>
      <w:lvlJc w:val="left"/>
    </w:lvl>
    <w:lvl w:ilvl="5" w:tplc="A8C4E66C">
      <w:numFmt w:val="decimal"/>
      <w:lvlText w:val=""/>
      <w:lvlJc w:val="left"/>
    </w:lvl>
    <w:lvl w:ilvl="6" w:tplc="57BC419C">
      <w:numFmt w:val="decimal"/>
      <w:lvlText w:val=""/>
      <w:lvlJc w:val="left"/>
    </w:lvl>
    <w:lvl w:ilvl="7" w:tplc="5EF42478">
      <w:numFmt w:val="decimal"/>
      <w:lvlText w:val=""/>
      <w:lvlJc w:val="left"/>
    </w:lvl>
    <w:lvl w:ilvl="8" w:tplc="51D2804E">
      <w:numFmt w:val="decimal"/>
      <w:lvlText w:val=""/>
      <w:lvlJc w:val="left"/>
    </w:lvl>
  </w:abstractNum>
  <w:abstractNum w:abstractNumId="3" w15:restartNumberingAfterBreak="0">
    <w:nsid w:val="1A432F5F"/>
    <w:multiLevelType w:val="hybridMultilevel"/>
    <w:tmpl w:val="F5DC97D4"/>
    <w:lvl w:ilvl="0" w:tplc="162884C4">
      <w:start w:val="1"/>
      <w:numFmt w:val="decimal"/>
      <w:lvlText w:val="%1."/>
      <w:lvlJc w:val="left"/>
      <w:pPr>
        <w:ind w:left="380" w:hanging="250"/>
      </w:pPr>
      <w:rPr>
        <w:b/>
        <w:bCs/>
        <w:color w:val="C0530F"/>
      </w:rPr>
    </w:lvl>
    <w:lvl w:ilvl="1" w:tplc="C5421E2E">
      <w:numFmt w:val="decimal"/>
      <w:lvlText w:val=""/>
      <w:lvlJc w:val="left"/>
    </w:lvl>
    <w:lvl w:ilvl="2" w:tplc="260E6E96">
      <w:numFmt w:val="decimal"/>
      <w:lvlText w:val=""/>
      <w:lvlJc w:val="left"/>
    </w:lvl>
    <w:lvl w:ilvl="3" w:tplc="CA0A54BE">
      <w:numFmt w:val="decimal"/>
      <w:lvlText w:val=""/>
      <w:lvlJc w:val="left"/>
    </w:lvl>
    <w:lvl w:ilvl="4" w:tplc="64F6B97E">
      <w:numFmt w:val="decimal"/>
      <w:lvlText w:val=""/>
      <w:lvlJc w:val="left"/>
    </w:lvl>
    <w:lvl w:ilvl="5" w:tplc="CAF48304">
      <w:numFmt w:val="decimal"/>
      <w:lvlText w:val=""/>
      <w:lvlJc w:val="left"/>
    </w:lvl>
    <w:lvl w:ilvl="6" w:tplc="C41E3644">
      <w:numFmt w:val="decimal"/>
      <w:lvlText w:val=""/>
      <w:lvlJc w:val="left"/>
    </w:lvl>
    <w:lvl w:ilvl="7" w:tplc="466060AA">
      <w:numFmt w:val="decimal"/>
      <w:lvlText w:val=""/>
      <w:lvlJc w:val="left"/>
    </w:lvl>
    <w:lvl w:ilvl="8" w:tplc="BB52C20A">
      <w:numFmt w:val="decimal"/>
      <w:lvlText w:val=""/>
      <w:lvlJc w:val="left"/>
    </w:lvl>
  </w:abstractNum>
  <w:abstractNum w:abstractNumId="4" w15:restartNumberingAfterBreak="0">
    <w:nsid w:val="1BA075EF"/>
    <w:multiLevelType w:val="hybridMultilevel"/>
    <w:tmpl w:val="241001BA"/>
    <w:lvl w:ilvl="0" w:tplc="845C20F0">
      <w:start w:val="1"/>
      <w:numFmt w:val="bullet"/>
      <w:lvlText w:val="•"/>
      <w:lvlJc w:val="left"/>
      <w:pPr>
        <w:ind w:left="320" w:hanging="210"/>
      </w:pPr>
      <w:rPr>
        <w:color w:val="2EA057"/>
      </w:rPr>
    </w:lvl>
    <w:lvl w:ilvl="1" w:tplc="F8765AFE">
      <w:numFmt w:val="decimal"/>
      <w:lvlText w:val=""/>
      <w:lvlJc w:val="left"/>
    </w:lvl>
    <w:lvl w:ilvl="2" w:tplc="3D3C89CA">
      <w:numFmt w:val="decimal"/>
      <w:lvlText w:val=""/>
      <w:lvlJc w:val="left"/>
    </w:lvl>
    <w:lvl w:ilvl="3" w:tplc="74AC468A">
      <w:numFmt w:val="decimal"/>
      <w:lvlText w:val=""/>
      <w:lvlJc w:val="left"/>
    </w:lvl>
    <w:lvl w:ilvl="4" w:tplc="943C274C">
      <w:numFmt w:val="decimal"/>
      <w:lvlText w:val=""/>
      <w:lvlJc w:val="left"/>
    </w:lvl>
    <w:lvl w:ilvl="5" w:tplc="050287D4">
      <w:numFmt w:val="decimal"/>
      <w:lvlText w:val=""/>
      <w:lvlJc w:val="left"/>
    </w:lvl>
    <w:lvl w:ilvl="6" w:tplc="3FC60F24">
      <w:numFmt w:val="decimal"/>
      <w:lvlText w:val=""/>
      <w:lvlJc w:val="left"/>
    </w:lvl>
    <w:lvl w:ilvl="7" w:tplc="1CC4FA4E">
      <w:numFmt w:val="decimal"/>
      <w:lvlText w:val=""/>
      <w:lvlJc w:val="left"/>
    </w:lvl>
    <w:lvl w:ilvl="8" w:tplc="4066F446">
      <w:numFmt w:val="decimal"/>
      <w:lvlText w:val=""/>
      <w:lvlJc w:val="left"/>
    </w:lvl>
  </w:abstractNum>
  <w:abstractNum w:abstractNumId="5" w15:restartNumberingAfterBreak="0">
    <w:nsid w:val="2E08152A"/>
    <w:multiLevelType w:val="hybridMultilevel"/>
    <w:tmpl w:val="27D69262"/>
    <w:lvl w:ilvl="0" w:tplc="3404CF04">
      <w:start w:val="1"/>
      <w:numFmt w:val="bullet"/>
      <w:lvlText w:val="•"/>
      <w:lvlJc w:val="left"/>
      <w:pPr>
        <w:ind w:left="320" w:hanging="210"/>
      </w:pPr>
      <w:rPr>
        <w:color w:val="1F9E94"/>
      </w:rPr>
    </w:lvl>
    <w:lvl w:ilvl="1" w:tplc="5A2A64B8">
      <w:numFmt w:val="decimal"/>
      <w:lvlText w:val=""/>
      <w:lvlJc w:val="left"/>
    </w:lvl>
    <w:lvl w:ilvl="2" w:tplc="784EE58E">
      <w:numFmt w:val="decimal"/>
      <w:lvlText w:val=""/>
      <w:lvlJc w:val="left"/>
    </w:lvl>
    <w:lvl w:ilvl="3" w:tplc="0EE249C8">
      <w:numFmt w:val="decimal"/>
      <w:lvlText w:val=""/>
      <w:lvlJc w:val="left"/>
    </w:lvl>
    <w:lvl w:ilvl="4" w:tplc="1188138C">
      <w:numFmt w:val="decimal"/>
      <w:lvlText w:val=""/>
      <w:lvlJc w:val="left"/>
    </w:lvl>
    <w:lvl w:ilvl="5" w:tplc="31E471D0">
      <w:numFmt w:val="decimal"/>
      <w:lvlText w:val=""/>
      <w:lvlJc w:val="left"/>
    </w:lvl>
    <w:lvl w:ilvl="6" w:tplc="B2587CC6">
      <w:numFmt w:val="decimal"/>
      <w:lvlText w:val=""/>
      <w:lvlJc w:val="left"/>
    </w:lvl>
    <w:lvl w:ilvl="7" w:tplc="3A5E8FDE">
      <w:numFmt w:val="decimal"/>
      <w:lvlText w:val=""/>
      <w:lvlJc w:val="left"/>
    </w:lvl>
    <w:lvl w:ilvl="8" w:tplc="A142C98A">
      <w:numFmt w:val="decimal"/>
      <w:lvlText w:val=""/>
      <w:lvlJc w:val="left"/>
    </w:lvl>
  </w:abstractNum>
  <w:abstractNum w:abstractNumId="6" w15:restartNumberingAfterBreak="0">
    <w:nsid w:val="3A7F4F8E"/>
    <w:multiLevelType w:val="hybridMultilevel"/>
    <w:tmpl w:val="98707536"/>
    <w:lvl w:ilvl="0" w:tplc="251ACD24">
      <w:start w:val="1"/>
      <w:numFmt w:val="bullet"/>
      <w:lvlText w:val="•"/>
      <w:lvlJc w:val="left"/>
      <w:pPr>
        <w:ind w:left="320" w:hanging="210"/>
      </w:pPr>
      <w:rPr>
        <w:color w:val="E08600"/>
      </w:rPr>
    </w:lvl>
    <w:lvl w:ilvl="1" w:tplc="53D0EAA2">
      <w:numFmt w:val="decimal"/>
      <w:lvlText w:val=""/>
      <w:lvlJc w:val="left"/>
    </w:lvl>
    <w:lvl w:ilvl="2" w:tplc="C612428E">
      <w:numFmt w:val="decimal"/>
      <w:lvlText w:val=""/>
      <w:lvlJc w:val="left"/>
    </w:lvl>
    <w:lvl w:ilvl="3" w:tplc="C0946138">
      <w:numFmt w:val="decimal"/>
      <w:lvlText w:val=""/>
      <w:lvlJc w:val="left"/>
    </w:lvl>
    <w:lvl w:ilvl="4" w:tplc="3CD06E34">
      <w:numFmt w:val="decimal"/>
      <w:lvlText w:val=""/>
      <w:lvlJc w:val="left"/>
    </w:lvl>
    <w:lvl w:ilvl="5" w:tplc="30488D28">
      <w:numFmt w:val="decimal"/>
      <w:lvlText w:val=""/>
      <w:lvlJc w:val="left"/>
    </w:lvl>
    <w:lvl w:ilvl="6" w:tplc="D646C23E">
      <w:numFmt w:val="decimal"/>
      <w:lvlText w:val=""/>
      <w:lvlJc w:val="left"/>
    </w:lvl>
    <w:lvl w:ilvl="7" w:tplc="7C5693A0">
      <w:numFmt w:val="decimal"/>
      <w:lvlText w:val=""/>
      <w:lvlJc w:val="left"/>
    </w:lvl>
    <w:lvl w:ilvl="8" w:tplc="DEB420AC">
      <w:numFmt w:val="decimal"/>
      <w:lvlText w:val=""/>
      <w:lvlJc w:val="left"/>
    </w:lvl>
  </w:abstractNum>
  <w:abstractNum w:abstractNumId="7" w15:restartNumberingAfterBreak="0">
    <w:nsid w:val="41065289"/>
    <w:multiLevelType w:val="hybridMultilevel"/>
    <w:tmpl w:val="28025946"/>
    <w:lvl w:ilvl="0" w:tplc="69820CFA">
      <w:start w:val="1"/>
      <w:numFmt w:val="bullet"/>
      <w:lvlText w:val="•"/>
      <w:lvlJc w:val="left"/>
      <w:pPr>
        <w:ind w:left="360" w:hanging="220"/>
      </w:pPr>
      <w:rPr>
        <w:color w:val="E2661A"/>
      </w:rPr>
    </w:lvl>
    <w:lvl w:ilvl="1" w:tplc="1A768760">
      <w:start w:val="1"/>
      <w:numFmt w:val="bullet"/>
      <w:lvlText w:val="–"/>
      <w:lvlJc w:val="left"/>
      <w:pPr>
        <w:ind w:left="720" w:hanging="220"/>
      </w:pPr>
      <w:rPr>
        <w:color w:val="5A636E"/>
      </w:rPr>
    </w:lvl>
    <w:lvl w:ilvl="2" w:tplc="F3B613F0">
      <w:numFmt w:val="decimal"/>
      <w:lvlText w:val=""/>
      <w:lvlJc w:val="left"/>
    </w:lvl>
    <w:lvl w:ilvl="3" w:tplc="3408A668">
      <w:numFmt w:val="decimal"/>
      <w:lvlText w:val=""/>
      <w:lvlJc w:val="left"/>
    </w:lvl>
    <w:lvl w:ilvl="4" w:tplc="9724A4A4">
      <w:numFmt w:val="decimal"/>
      <w:lvlText w:val=""/>
      <w:lvlJc w:val="left"/>
    </w:lvl>
    <w:lvl w:ilvl="5" w:tplc="B890FE68">
      <w:numFmt w:val="decimal"/>
      <w:lvlText w:val=""/>
      <w:lvlJc w:val="left"/>
    </w:lvl>
    <w:lvl w:ilvl="6" w:tplc="74D69F02">
      <w:numFmt w:val="decimal"/>
      <w:lvlText w:val=""/>
      <w:lvlJc w:val="left"/>
    </w:lvl>
    <w:lvl w:ilvl="7" w:tplc="92F65D7A">
      <w:numFmt w:val="decimal"/>
      <w:lvlText w:val=""/>
      <w:lvlJc w:val="left"/>
    </w:lvl>
    <w:lvl w:ilvl="8" w:tplc="7152CD60">
      <w:numFmt w:val="decimal"/>
      <w:lvlText w:val=""/>
      <w:lvlJc w:val="left"/>
    </w:lvl>
  </w:abstractNum>
  <w:abstractNum w:abstractNumId="8" w15:restartNumberingAfterBreak="0">
    <w:nsid w:val="4ADC1781"/>
    <w:multiLevelType w:val="hybridMultilevel"/>
    <w:tmpl w:val="C2D03F90"/>
    <w:lvl w:ilvl="0" w:tplc="0A34C74E">
      <w:start w:val="1"/>
      <w:numFmt w:val="bullet"/>
      <w:lvlText w:val="•"/>
      <w:lvlJc w:val="left"/>
      <w:pPr>
        <w:ind w:left="320" w:hanging="210"/>
      </w:pPr>
      <w:rPr>
        <w:color w:val="7A4FA3"/>
      </w:rPr>
    </w:lvl>
    <w:lvl w:ilvl="1" w:tplc="800855D4">
      <w:numFmt w:val="decimal"/>
      <w:lvlText w:val=""/>
      <w:lvlJc w:val="left"/>
    </w:lvl>
    <w:lvl w:ilvl="2" w:tplc="3E14F676">
      <w:numFmt w:val="decimal"/>
      <w:lvlText w:val=""/>
      <w:lvlJc w:val="left"/>
    </w:lvl>
    <w:lvl w:ilvl="3" w:tplc="AE9C2DA6">
      <w:numFmt w:val="decimal"/>
      <w:lvlText w:val=""/>
      <w:lvlJc w:val="left"/>
    </w:lvl>
    <w:lvl w:ilvl="4" w:tplc="AC720C64">
      <w:numFmt w:val="decimal"/>
      <w:lvlText w:val=""/>
      <w:lvlJc w:val="left"/>
    </w:lvl>
    <w:lvl w:ilvl="5" w:tplc="B3CADA86">
      <w:numFmt w:val="decimal"/>
      <w:lvlText w:val=""/>
      <w:lvlJc w:val="left"/>
    </w:lvl>
    <w:lvl w:ilvl="6" w:tplc="E054A9D4">
      <w:numFmt w:val="decimal"/>
      <w:lvlText w:val=""/>
      <w:lvlJc w:val="left"/>
    </w:lvl>
    <w:lvl w:ilvl="7" w:tplc="C3088210">
      <w:numFmt w:val="decimal"/>
      <w:lvlText w:val=""/>
      <w:lvlJc w:val="left"/>
    </w:lvl>
    <w:lvl w:ilvl="8" w:tplc="134CD288">
      <w:numFmt w:val="decimal"/>
      <w:lvlText w:val=""/>
      <w:lvlJc w:val="left"/>
    </w:lvl>
  </w:abstractNum>
  <w:abstractNum w:abstractNumId="9" w15:restartNumberingAfterBreak="0">
    <w:nsid w:val="4D883272"/>
    <w:multiLevelType w:val="hybridMultilevel"/>
    <w:tmpl w:val="D5F6F36A"/>
    <w:lvl w:ilvl="0" w:tplc="DC2E828C">
      <w:start w:val="1"/>
      <w:numFmt w:val="bullet"/>
      <w:lvlText w:val="•"/>
      <w:lvlJc w:val="left"/>
      <w:pPr>
        <w:ind w:left="320" w:hanging="210"/>
      </w:pPr>
      <w:rPr>
        <w:color w:val="D34747"/>
      </w:rPr>
    </w:lvl>
    <w:lvl w:ilvl="1" w:tplc="AAF63DC4">
      <w:numFmt w:val="decimal"/>
      <w:lvlText w:val=""/>
      <w:lvlJc w:val="left"/>
    </w:lvl>
    <w:lvl w:ilvl="2" w:tplc="04580A00">
      <w:numFmt w:val="decimal"/>
      <w:lvlText w:val=""/>
      <w:lvlJc w:val="left"/>
    </w:lvl>
    <w:lvl w:ilvl="3" w:tplc="109C9F30">
      <w:numFmt w:val="decimal"/>
      <w:lvlText w:val=""/>
      <w:lvlJc w:val="left"/>
    </w:lvl>
    <w:lvl w:ilvl="4" w:tplc="68A2A094">
      <w:numFmt w:val="decimal"/>
      <w:lvlText w:val=""/>
      <w:lvlJc w:val="left"/>
    </w:lvl>
    <w:lvl w:ilvl="5" w:tplc="E722AEF4">
      <w:numFmt w:val="decimal"/>
      <w:lvlText w:val=""/>
      <w:lvlJc w:val="left"/>
    </w:lvl>
    <w:lvl w:ilvl="6" w:tplc="5A920EC4">
      <w:numFmt w:val="decimal"/>
      <w:lvlText w:val=""/>
      <w:lvlJc w:val="left"/>
    </w:lvl>
    <w:lvl w:ilvl="7" w:tplc="C59A2D98">
      <w:numFmt w:val="decimal"/>
      <w:lvlText w:val=""/>
      <w:lvlJc w:val="left"/>
    </w:lvl>
    <w:lvl w:ilvl="8" w:tplc="6DC48238">
      <w:numFmt w:val="decimal"/>
      <w:lvlText w:val=""/>
      <w:lvlJc w:val="left"/>
    </w:lvl>
  </w:abstractNum>
  <w:abstractNum w:abstractNumId="10" w15:restartNumberingAfterBreak="0">
    <w:nsid w:val="6C6405C6"/>
    <w:multiLevelType w:val="hybridMultilevel"/>
    <w:tmpl w:val="6046CA0C"/>
    <w:lvl w:ilvl="0" w:tplc="DDC68BF6">
      <w:start w:val="1"/>
      <w:numFmt w:val="decimal"/>
      <w:lvlText w:val="%1."/>
      <w:lvlJc w:val="left"/>
      <w:pPr>
        <w:ind w:left="380" w:hanging="250"/>
      </w:pPr>
      <w:rPr>
        <w:b/>
        <w:bCs/>
        <w:color w:val="C0530F"/>
      </w:rPr>
    </w:lvl>
    <w:lvl w:ilvl="1" w:tplc="C66811D0">
      <w:numFmt w:val="decimal"/>
      <w:lvlText w:val=""/>
      <w:lvlJc w:val="left"/>
    </w:lvl>
    <w:lvl w:ilvl="2" w:tplc="9F62E4E0">
      <w:numFmt w:val="decimal"/>
      <w:lvlText w:val=""/>
      <w:lvlJc w:val="left"/>
    </w:lvl>
    <w:lvl w:ilvl="3" w:tplc="05481D58">
      <w:numFmt w:val="decimal"/>
      <w:lvlText w:val=""/>
      <w:lvlJc w:val="left"/>
    </w:lvl>
    <w:lvl w:ilvl="4" w:tplc="0204C0A6">
      <w:numFmt w:val="decimal"/>
      <w:lvlText w:val=""/>
      <w:lvlJc w:val="left"/>
    </w:lvl>
    <w:lvl w:ilvl="5" w:tplc="4D4A7398">
      <w:numFmt w:val="decimal"/>
      <w:lvlText w:val=""/>
      <w:lvlJc w:val="left"/>
    </w:lvl>
    <w:lvl w:ilvl="6" w:tplc="F704DFD6">
      <w:numFmt w:val="decimal"/>
      <w:lvlText w:val=""/>
      <w:lvlJc w:val="left"/>
    </w:lvl>
    <w:lvl w:ilvl="7" w:tplc="B150D404">
      <w:numFmt w:val="decimal"/>
      <w:lvlText w:val=""/>
      <w:lvlJc w:val="left"/>
    </w:lvl>
    <w:lvl w:ilvl="8" w:tplc="5F583E42">
      <w:numFmt w:val="decimal"/>
      <w:lvlText w:val=""/>
      <w:lvlJc w:val="left"/>
    </w:lvl>
  </w:abstractNum>
  <w:num w:numId="1" w16cid:durableId="2143691444">
    <w:abstractNumId w:val="0"/>
    <w:lvlOverride w:ilvl="0">
      <w:startOverride w:val="1"/>
    </w:lvlOverride>
  </w:num>
  <w:num w:numId="2" w16cid:durableId="1125852381">
    <w:abstractNumId w:val="7"/>
    <w:lvlOverride w:ilvl="0">
      <w:startOverride w:val="1"/>
    </w:lvlOverride>
  </w:num>
  <w:num w:numId="3" w16cid:durableId="172577720">
    <w:abstractNumId w:val="9"/>
    <w:lvlOverride w:ilvl="0">
      <w:startOverride w:val="1"/>
    </w:lvlOverride>
  </w:num>
  <w:num w:numId="4" w16cid:durableId="92634131">
    <w:abstractNumId w:val="2"/>
    <w:lvlOverride w:ilvl="0">
      <w:startOverride w:val="1"/>
    </w:lvlOverride>
  </w:num>
  <w:num w:numId="5" w16cid:durableId="592855110">
    <w:abstractNumId w:val="6"/>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73A7"/>
    <w:rsid w:val="002B0493"/>
    <w:rsid w:val="004648D3"/>
    <w:rsid w:val="00B24B8D"/>
    <w:rsid w:val="00FE73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8EF88"/>
  <w15:docId w15:val="{2F9196AA-064B-4E1C-99BC-42108E307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2B3640"/>
        <w:sz w:val="21"/>
        <w:szCs w:val="21"/>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1028</Words>
  <Characters>5929</Characters>
  <Application>Microsoft Office Word</Application>
  <DocSecurity>0</DocSecurity>
  <Lines>140</Lines>
  <Paragraphs>88</Paragraphs>
  <ScaleCrop>false</ScaleCrop>
  <Company/>
  <LinksUpToDate>false</LinksUpToDate>
  <CharactersWithSpaces>6928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3</cp:revision>
  <dcterms:created xsi:type="dcterms:W3CDTF">2026-06-19T14:16:00Z</dcterms:created>
  <dcterms:modified xsi:type="dcterms:W3CDTF">2026-06-19T17:09:00Z</dcterms:modified>
</cp:coreProperties>
</file>