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9746"/>
      </w:tblGrid>
      <w:tr w:rsidR="00F77C0B" w14:paraId="31C1B6D8" w14:textId="77777777">
        <w:tblPrEx>
          <w:tblCellMar>
            <w:top w:w="0" w:type="dxa"/>
            <w:bottom w:w="0" w:type="dxa"/>
          </w:tblCellMar>
        </w:tblPrEx>
        <w:tc>
          <w:tcPr>
            <w:tcW w:w="9746" w:type="dxa"/>
            <w:shd w:val="clear" w:color="auto" w:fill="E2661A"/>
            <w:tcMar>
              <w:top w:w="110" w:type="dxa"/>
              <w:left w:w="200" w:type="dxa"/>
              <w:bottom w:w="110" w:type="dxa"/>
              <w:right w:w="200" w:type="dxa"/>
            </w:tcMar>
          </w:tcPr>
          <w:p w14:paraId="14A24F1D" w14:textId="77777777" w:rsidR="00F77C0B" w:rsidRDefault="00000000">
            <w:r>
              <w:rPr>
                <w:b/>
                <w:bCs/>
                <w:color w:val="FFFFFF"/>
                <w:spacing w:val="40"/>
                <w:sz w:val="26"/>
                <w:szCs w:val="26"/>
              </w:rPr>
              <w:t>BRADFORD VTS TEACHING AIDS</w:t>
            </w:r>
          </w:p>
        </w:tc>
      </w:tr>
    </w:tbl>
    <w:p w14:paraId="6F9055DB" w14:textId="77777777" w:rsidR="00F77C0B" w:rsidRDefault="00F77C0B">
      <w:pPr>
        <w:spacing w:after="60"/>
      </w:pPr>
    </w:p>
    <w:p w14:paraId="0F3AA726" w14:textId="77777777" w:rsidR="00F77C0B" w:rsidRDefault="00000000">
      <w:pPr>
        <w:keepNext/>
        <w:spacing w:before="60" w:after="30" w:line="320" w:lineRule="auto"/>
      </w:pPr>
      <w:r>
        <w:rPr>
          <w:b/>
          <w:bCs/>
          <w:color w:val="1F2A36"/>
          <w:sz w:val="48"/>
          <w:szCs w:val="48"/>
        </w:rPr>
        <w:t>Gout</w:t>
      </w:r>
    </w:p>
    <w:p w14:paraId="582B288E" w14:textId="77777777" w:rsidR="00F77C0B" w:rsidRDefault="00F77C0B">
      <w:pPr>
        <w:pBdr>
          <w:bottom w:val="single" w:sz="22" w:space="1" w:color="C0530F"/>
        </w:pBdr>
        <w:spacing w:after="60"/>
      </w:pPr>
    </w:p>
    <w:p w14:paraId="0ABFC1EE" w14:textId="77777777" w:rsidR="00F77C0B" w:rsidRDefault="00000000">
      <w:pPr>
        <w:tabs>
          <w:tab w:val="right" w:pos="9746"/>
        </w:tabs>
        <w:spacing w:before="40" w:after="200"/>
      </w:pPr>
      <w:r>
        <w:rPr>
          <w:b/>
          <w:bCs/>
          <w:color w:val="C0530F"/>
          <w:spacing w:val="12"/>
          <w:sz w:val="20"/>
          <w:szCs w:val="20"/>
        </w:rPr>
        <w:t xml:space="preserve">MSK Teaching </w:t>
      </w:r>
      <w:proofErr w:type="gramStart"/>
      <w:r>
        <w:rPr>
          <w:b/>
          <w:bCs/>
          <w:color w:val="C0530F"/>
          <w:spacing w:val="12"/>
          <w:sz w:val="20"/>
          <w:szCs w:val="20"/>
        </w:rPr>
        <w:t>Series  ·</w:t>
      </w:r>
      <w:proofErr w:type="gramEnd"/>
      <w:r>
        <w:rPr>
          <w:b/>
          <w:bCs/>
          <w:color w:val="C0530F"/>
          <w:spacing w:val="12"/>
          <w:sz w:val="20"/>
          <w:szCs w:val="20"/>
        </w:rPr>
        <w:t xml:space="preserve">  For GP Trainees &amp; IMGs</w:t>
      </w:r>
      <w:r>
        <w:rPr>
          <w:b/>
          <w:bCs/>
          <w:color w:val="5A636E"/>
          <w:sz w:val="20"/>
          <w:szCs w:val="20"/>
        </w:rPr>
        <w:tab/>
        <w:t>June 2026</w:t>
      </w:r>
    </w:p>
    <w:tbl>
      <w:tblPr>
        <w:tblW w:w="9746" w:type="dxa"/>
        <w:tblInd w:w="-35" w:type="dxa"/>
        <w:tblBorders>
          <w:top w:val="single" w:sz="2" w:space="0" w:color="2EA057"/>
          <w:left w:val="single" w:sz="28" w:space="0" w:color="2EA057"/>
          <w:bottom w:val="single" w:sz="2" w:space="0" w:color="2EA057"/>
          <w:right w:val="single" w:sz="2" w:space="0" w:color="2EA057"/>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
        <w:gridCol w:w="25"/>
        <w:gridCol w:w="9651"/>
        <w:gridCol w:w="35"/>
      </w:tblGrid>
      <w:tr w:rsidR="00F77C0B" w14:paraId="60ED5152" w14:textId="77777777">
        <w:tblPrEx>
          <w:tblCellMar>
            <w:top w:w="0" w:type="dxa"/>
            <w:bottom w:w="0" w:type="dxa"/>
          </w:tblCellMar>
        </w:tblPrEx>
        <w:trPr>
          <w:gridBefore w:val="1"/>
          <w:wBefore w:w="35" w:type="dxa"/>
          <w:cantSplit/>
        </w:trPr>
        <w:tc>
          <w:tcPr>
            <w:tcW w:w="9746" w:type="dxa"/>
            <w:gridSpan w:val="3"/>
            <w:shd w:val="clear" w:color="auto" w:fill="E8F5EC"/>
            <w:tcMar>
              <w:top w:w="110" w:type="dxa"/>
              <w:left w:w="200" w:type="dxa"/>
              <w:bottom w:w="110" w:type="dxa"/>
              <w:right w:w="160" w:type="dxa"/>
            </w:tcMar>
          </w:tcPr>
          <w:p w14:paraId="797F81FA" w14:textId="77777777" w:rsidR="00F77C0B" w:rsidRDefault="00000000">
            <w:pPr>
              <w:spacing w:after="70" w:line="248" w:lineRule="auto"/>
            </w:pPr>
            <w:proofErr w:type="gramStart"/>
            <w:r>
              <w:rPr>
                <w:b/>
                <w:bCs/>
                <w:color w:val="1E7A40"/>
              </w:rPr>
              <w:t>✓  In</w:t>
            </w:r>
            <w:proofErr w:type="gramEnd"/>
            <w:r>
              <w:rPr>
                <w:b/>
                <w:bCs/>
                <w:color w:val="1E7A40"/>
              </w:rPr>
              <w:t xml:space="preserve"> a nutshell</w:t>
            </w:r>
          </w:p>
          <w:p w14:paraId="2BAA4EB4" w14:textId="77777777" w:rsidR="00F77C0B" w:rsidRDefault="00000000">
            <w:pPr>
              <w:spacing w:after="60" w:line="252" w:lineRule="auto"/>
            </w:pPr>
            <w:r>
              <w:rPr>
                <w:b/>
                <w:bCs/>
              </w:rPr>
              <w:t>Gout is the most common inflammatory arthritis — and it is almost entirely a primary-care condition.</w:t>
            </w:r>
          </w:p>
          <w:p w14:paraId="3F9A2509" w14:textId="77777777" w:rsidR="00F77C0B" w:rsidRDefault="00000000">
            <w:pPr>
              <w:spacing w:after="60" w:line="252" w:lineRule="auto"/>
            </w:pPr>
            <w:r>
              <w:t>It is caused by urate crystals forming in joints when the blood urate level stays high.</w:t>
            </w:r>
          </w:p>
          <w:p w14:paraId="178B955A" w14:textId="77777777" w:rsidR="00F77C0B" w:rsidRDefault="00000000">
            <w:pPr>
              <w:spacing w:line="252" w:lineRule="auto"/>
            </w:pPr>
            <w:r>
              <w:rPr>
                <w:b/>
                <w:bCs/>
              </w:rPr>
              <w:t xml:space="preserve">You have two jobs: </w:t>
            </w:r>
            <w:r>
              <w:t>first, settle the painful flare; then lower the urate to a target level so the flares stop coming back. Most patients only ever get the first job done — which is why gout keeps returning.</w:t>
            </w:r>
          </w:p>
        </w:tc>
      </w:tr>
      <w:tr w:rsidR="00F77C0B" w14:paraId="2016D1DE"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C0530F"/>
            <w:tcMar>
              <w:top w:w="0" w:type="dxa"/>
              <w:left w:w="0" w:type="dxa"/>
              <w:bottom w:w="0" w:type="dxa"/>
              <w:right w:w="0" w:type="dxa"/>
            </w:tcMar>
          </w:tcPr>
          <w:p w14:paraId="0B559667" w14:textId="77777777" w:rsidR="00F77C0B" w:rsidRDefault="00F77C0B"/>
        </w:tc>
        <w:tc>
          <w:tcPr>
            <w:tcW w:w="9686" w:type="dxa"/>
            <w:shd w:val="clear" w:color="auto" w:fill="F4F6F8"/>
            <w:tcMar>
              <w:top w:w="70" w:type="dxa"/>
              <w:left w:w="150" w:type="dxa"/>
              <w:bottom w:w="70" w:type="dxa"/>
              <w:right w:w="120" w:type="dxa"/>
            </w:tcMar>
            <w:vAlign w:val="center"/>
          </w:tcPr>
          <w:p w14:paraId="6D779833" w14:textId="77777777" w:rsidR="00F77C0B" w:rsidRDefault="00000000">
            <w:pPr>
              <w:spacing w:line="252" w:lineRule="auto"/>
            </w:pPr>
            <w:proofErr w:type="gramStart"/>
            <w:r>
              <w:rPr>
                <w:b/>
                <w:bCs/>
                <w:color w:val="21303D"/>
                <w:sz w:val="27"/>
                <w:szCs w:val="27"/>
              </w:rPr>
              <w:t>Recognise  ·</w:t>
            </w:r>
            <w:proofErr w:type="gramEnd"/>
            <w:r>
              <w:rPr>
                <w:b/>
                <w:bCs/>
                <w:color w:val="21303D"/>
                <w:sz w:val="27"/>
                <w:szCs w:val="27"/>
              </w:rPr>
              <w:t xml:space="preserve">  Making the diagnosis</w:t>
            </w:r>
          </w:p>
        </w:tc>
      </w:tr>
    </w:tbl>
    <w:p w14:paraId="267DF682" w14:textId="77777777" w:rsidR="00F77C0B" w:rsidRDefault="00000000">
      <w:pPr>
        <w:spacing w:after="120" w:line="264" w:lineRule="auto"/>
      </w:pPr>
      <w:r>
        <w:t xml:space="preserve">Think gout when a single joint becomes </w:t>
      </w:r>
      <w:r>
        <w:rPr>
          <w:b/>
          <w:bCs/>
        </w:rPr>
        <w:t>red, hot, swollen and exquisitely tender over a few hours</w:t>
      </w:r>
      <w:r>
        <w:t xml:space="preserve"> — often overnight. It is so tender that even a bedsheet resting on it is unbearable.</w:t>
      </w:r>
    </w:p>
    <w:p w14:paraId="4966B04B" w14:textId="77777777" w:rsidR="00F77C0B" w:rsidRDefault="00000000">
      <w:pPr>
        <w:spacing w:after="120" w:line="264" w:lineRule="auto"/>
      </w:pPr>
      <w:r>
        <w:rPr>
          <w:b/>
          <w:bCs/>
        </w:rPr>
        <w:t xml:space="preserve">Typical joints (in rough order): </w:t>
      </w:r>
      <w:r>
        <w:t>the base of the big toe (1st MTP — the classic site), then midfoot, ankle, knee, wrist, finger joints and elbow.</w:t>
      </w:r>
    </w:p>
    <w:tbl>
      <w:tblPr>
        <w:tblW w:w="9711" w:type="dxa"/>
        <w:tblBorders>
          <w:top w:val="single" w:sz="2" w:space="0" w:color="2E75B6"/>
          <w:left w:val="single" w:sz="28" w:space="0" w:color="2E75B6"/>
          <w:bottom w:val="single" w:sz="2" w:space="0" w:color="2E75B6"/>
          <w:right w:val="single" w:sz="2" w:space="0" w:color="2E75B6"/>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11"/>
      </w:tblGrid>
      <w:tr w:rsidR="00F77C0B" w14:paraId="4CB68C34" w14:textId="77777777" w:rsidTr="00F87AF0">
        <w:tblPrEx>
          <w:tblCellMar>
            <w:top w:w="0" w:type="dxa"/>
            <w:bottom w:w="0" w:type="dxa"/>
          </w:tblCellMar>
        </w:tblPrEx>
        <w:trPr>
          <w:cantSplit/>
        </w:trPr>
        <w:tc>
          <w:tcPr>
            <w:tcW w:w="9711" w:type="dxa"/>
            <w:shd w:val="clear" w:color="auto" w:fill="E9F1FB"/>
            <w:tcMar>
              <w:top w:w="110" w:type="dxa"/>
              <w:left w:w="200" w:type="dxa"/>
              <w:bottom w:w="110" w:type="dxa"/>
              <w:right w:w="160" w:type="dxa"/>
            </w:tcMar>
          </w:tcPr>
          <w:p w14:paraId="038609A3" w14:textId="77777777" w:rsidR="00F77C0B" w:rsidRDefault="00000000">
            <w:pPr>
              <w:spacing w:after="70" w:line="248" w:lineRule="auto"/>
            </w:pPr>
            <w:proofErr w:type="gramStart"/>
            <w:r>
              <w:rPr>
                <w:b/>
                <w:bCs/>
                <w:color w:val="1F5C95"/>
              </w:rPr>
              <w:t>▸  Using</w:t>
            </w:r>
            <w:proofErr w:type="gramEnd"/>
            <w:r>
              <w:rPr>
                <w:b/>
                <w:bCs/>
                <w:color w:val="1F5C95"/>
              </w:rPr>
              <w:t xml:space="preserve"> the serum urate sensibly</w:t>
            </w:r>
          </w:p>
          <w:p w14:paraId="482C6444" w14:textId="77777777" w:rsidR="00F77C0B" w:rsidRDefault="00000000">
            <w:pPr>
              <w:pStyle w:val="ListParagraph"/>
              <w:numPr>
                <w:ilvl w:val="0"/>
                <w:numId w:val="2"/>
              </w:numPr>
              <w:spacing w:after="50" w:line="248" w:lineRule="auto"/>
            </w:pPr>
            <w:r>
              <w:rPr>
                <w:b/>
                <w:bCs/>
              </w:rPr>
              <w:t xml:space="preserve">A raised urate (≥ 360 </w:t>
            </w:r>
            <w:proofErr w:type="spellStart"/>
            <w:r>
              <w:rPr>
                <w:b/>
                <w:bCs/>
              </w:rPr>
              <w:t>micromol</w:t>
            </w:r>
            <w:proofErr w:type="spellEnd"/>
            <w:r>
              <w:rPr>
                <w:b/>
                <w:bCs/>
              </w:rPr>
              <w:t>/L) supports the diagnosis</w:t>
            </w:r>
            <w:r>
              <w:t xml:space="preserve"> — but the level can fall during a flare.</w:t>
            </w:r>
          </w:p>
          <w:p w14:paraId="6A0F6B6D" w14:textId="77777777" w:rsidR="00F77C0B" w:rsidRDefault="00000000">
            <w:pPr>
              <w:pStyle w:val="ListParagraph"/>
              <w:numPr>
                <w:ilvl w:val="0"/>
                <w:numId w:val="2"/>
              </w:numPr>
              <w:spacing w:after="50" w:line="248" w:lineRule="auto"/>
            </w:pPr>
            <w:r>
              <w:t xml:space="preserve">If the urate is low or normal during an attack </w:t>
            </w:r>
            <w:r>
              <w:rPr>
                <w:b/>
                <w:bCs/>
              </w:rPr>
              <w:t>and you still suspect gout, repeat it at least 2 weeks after the flare has fully settled.</w:t>
            </w:r>
          </w:p>
          <w:p w14:paraId="6C9935EC" w14:textId="77777777" w:rsidR="00F77C0B" w:rsidRDefault="00000000">
            <w:pPr>
              <w:pStyle w:val="ListParagraph"/>
              <w:numPr>
                <w:ilvl w:val="0"/>
                <w:numId w:val="2"/>
              </w:numPr>
              <w:spacing w:line="248" w:lineRule="auto"/>
            </w:pPr>
            <w:r>
              <w:t xml:space="preserve">If the diagnosis is uncertain, </w:t>
            </w:r>
            <w:r>
              <w:rPr>
                <w:b/>
                <w:bCs/>
              </w:rPr>
              <w:t>joint aspiration with polarised-light microscopy</w:t>
            </w:r>
            <w:r>
              <w:t xml:space="preserve"> is definitive (negatively birefringent needle-shaped crystals) </w:t>
            </w:r>
            <w:proofErr w:type="gramStart"/>
            <w:r>
              <w:t>and also</w:t>
            </w:r>
            <w:proofErr w:type="gramEnd"/>
            <w:r>
              <w:t xml:space="preserve"> helps exclude infection.</w:t>
            </w:r>
          </w:p>
        </w:tc>
      </w:tr>
      <w:tr w:rsidR="00F77C0B" w14:paraId="1B989EAB" w14:textId="77777777" w:rsidTr="00F87AF0">
        <w:tblPrEx>
          <w:tblBorders>
            <w:top w:val="single" w:sz="2" w:space="0" w:color="D34747"/>
            <w:left w:val="single" w:sz="28" w:space="0" w:color="D34747"/>
            <w:bottom w:val="single" w:sz="2" w:space="0" w:color="D34747"/>
            <w:right w:val="single" w:sz="2" w:space="0" w:color="D34747"/>
          </w:tblBorders>
          <w:tblCellMar>
            <w:top w:w="0" w:type="dxa"/>
            <w:bottom w:w="0" w:type="dxa"/>
          </w:tblCellMar>
        </w:tblPrEx>
        <w:trPr>
          <w:cantSplit/>
        </w:trPr>
        <w:tc>
          <w:tcPr>
            <w:tcW w:w="9711" w:type="dxa"/>
            <w:shd w:val="clear" w:color="auto" w:fill="FBEAEA"/>
            <w:tcMar>
              <w:top w:w="110" w:type="dxa"/>
              <w:left w:w="200" w:type="dxa"/>
              <w:bottom w:w="110" w:type="dxa"/>
              <w:right w:w="160" w:type="dxa"/>
            </w:tcMar>
          </w:tcPr>
          <w:p w14:paraId="122D8F45" w14:textId="77777777" w:rsidR="00F77C0B" w:rsidRDefault="00000000">
            <w:pPr>
              <w:spacing w:after="70" w:line="248" w:lineRule="auto"/>
            </w:pPr>
            <w:proofErr w:type="gramStart"/>
            <w:r>
              <w:rPr>
                <w:b/>
                <w:bCs/>
                <w:color w:val="B02A2A"/>
              </w:rPr>
              <w:t>▲  RED</w:t>
            </w:r>
            <w:proofErr w:type="gramEnd"/>
            <w:r>
              <w:rPr>
                <w:b/>
                <w:bCs/>
                <w:color w:val="B02A2A"/>
              </w:rPr>
              <w:t xml:space="preserve"> FLAG — always exclude septic arthritis</w:t>
            </w:r>
          </w:p>
          <w:p w14:paraId="78DDFE83" w14:textId="77777777" w:rsidR="00F77C0B" w:rsidRDefault="00000000">
            <w:pPr>
              <w:spacing w:after="60" w:line="252" w:lineRule="auto"/>
            </w:pPr>
            <w:r>
              <w:rPr>
                <w:b/>
                <w:bCs/>
                <w:color w:val="B02A2A"/>
              </w:rPr>
              <w:t>A hot, swollen, painful joint is septic arthritis until proven otherwise</w:t>
            </w:r>
            <w:r>
              <w:t>, especially with fever, systemic upset, immunosuppression, or a prosthetic joint.</w:t>
            </w:r>
          </w:p>
          <w:p w14:paraId="7779ED7C" w14:textId="77777777" w:rsidR="00F77C0B" w:rsidRDefault="00000000">
            <w:pPr>
              <w:spacing w:line="252" w:lineRule="auto"/>
            </w:pPr>
            <w:r>
              <w:rPr>
                <w:b/>
                <w:bCs/>
              </w:rPr>
              <w:t>If infection is possible, do not simply treat as gout — arrange urgent joint aspiration / same-day assessment. Missed septic arthritis destroys a joint within days.</w:t>
            </w:r>
          </w:p>
        </w:tc>
      </w:tr>
    </w:tbl>
    <w:p w14:paraId="517F5EF5" w14:textId="77777777" w:rsidR="00F87AF0" w:rsidRDefault="00F87AF0">
      <w:r>
        <w:br w:type="page"/>
      </w:r>
    </w:p>
    <w:tbl>
      <w:tblPr>
        <w:tblW w:w="9746" w:type="dxa"/>
        <w:tblInd w:w="-35"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60"/>
        <w:gridCol w:w="9686"/>
      </w:tblGrid>
      <w:tr w:rsidR="00F77C0B" w14:paraId="074FE292" w14:textId="77777777">
        <w:tblPrEx>
          <w:tblCellMar>
            <w:top w:w="0" w:type="dxa"/>
            <w:bottom w:w="0" w:type="dxa"/>
          </w:tblCellMar>
        </w:tblPrEx>
        <w:tc>
          <w:tcPr>
            <w:tcW w:w="60" w:type="dxa"/>
            <w:shd w:val="clear" w:color="auto" w:fill="C0530F"/>
            <w:tcMar>
              <w:top w:w="0" w:type="dxa"/>
              <w:left w:w="0" w:type="dxa"/>
              <w:bottom w:w="0" w:type="dxa"/>
              <w:right w:w="0" w:type="dxa"/>
            </w:tcMar>
          </w:tcPr>
          <w:p w14:paraId="490BB9E5" w14:textId="3B8DFF13" w:rsidR="00F77C0B" w:rsidRDefault="00F77C0B"/>
        </w:tc>
        <w:tc>
          <w:tcPr>
            <w:tcW w:w="9686" w:type="dxa"/>
            <w:shd w:val="clear" w:color="auto" w:fill="F4F6F8"/>
            <w:tcMar>
              <w:top w:w="70" w:type="dxa"/>
              <w:left w:w="150" w:type="dxa"/>
              <w:bottom w:w="70" w:type="dxa"/>
              <w:right w:w="120" w:type="dxa"/>
            </w:tcMar>
            <w:vAlign w:val="center"/>
          </w:tcPr>
          <w:p w14:paraId="61E773BC" w14:textId="77777777" w:rsidR="00F77C0B" w:rsidRDefault="00000000">
            <w:pPr>
              <w:spacing w:line="252" w:lineRule="auto"/>
            </w:pPr>
            <w:proofErr w:type="gramStart"/>
            <w:r>
              <w:rPr>
                <w:b/>
                <w:bCs/>
                <w:color w:val="21303D"/>
                <w:sz w:val="27"/>
                <w:szCs w:val="27"/>
              </w:rPr>
              <w:t>Act  ·</w:t>
            </w:r>
            <w:proofErr w:type="gramEnd"/>
            <w:r>
              <w:rPr>
                <w:b/>
                <w:bCs/>
                <w:color w:val="21303D"/>
                <w:sz w:val="27"/>
                <w:szCs w:val="27"/>
              </w:rPr>
              <w:t xml:space="preserve">  Settling the acute flare</w:t>
            </w:r>
          </w:p>
        </w:tc>
      </w:tr>
    </w:tbl>
    <w:p w14:paraId="1EB3A467" w14:textId="77777777" w:rsidR="00F77C0B" w:rsidRDefault="00000000">
      <w:pPr>
        <w:spacing w:after="120" w:line="264" w:lineRule="auto"/>
      </w:pPr>
      <w:r>
        <w:t xml:space="preserve">NICE NG219 treats the three options below as </w:t>
      </w:r>
      <w:r>
        <w:rPr>
          <w:b/>
          <w:bCs/>
        </w:rPr>
        <w:t>equally valid first-line choices</w:t>
      </w:r>
      <w:r>
        <w:t>. Pick the one that best fits the patient's other conditions, current medicines and preference — you do not have to climb a fixed ladder. Start treatment early; the sooner you treat, the faster the flare settles.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00"/>
        <w:gridCol w:w="4646"/>
        <w:gridCol w:w="2800"/>
      </w:tblGrid>
      <w:tr w:rsidR="00F77C0B" w14:paraId="6FF11163" w14:textId="77777777">
        <w:tblPrEx>
          <w:tblCellMar>
            <w:top w:w="0" w:type="dxa"/>
            <w:bottom w:w="0" w:type="dxa"/>
          </w:tblCellMar>
        </w:tblPrEx>
        <w:trPr>
          <w:cantSplit/>
          <w:tblHeader/>
        </w:trPr>
        <w:tc>
          <w:tcPr>
            <w:tcW w:w="2300" w:type="dxa"/>
            <w:tcBorders>
              <w:top w:val="single" w:sz="4" w:space="0" w:color="C0530F"/>
              <w:left w:val="single" w:sz="4" w:space="0" w:color="C0530F"/>
              <w:bottom w:val="single" w:sz="4" w:space="0" w:color="C0530F"/>
              <w:right w:val="single" w:sz="4" w:space="0" w:color="C0530F"/>
            </w:tcBorders>
            <w:shd w:val="clear" w:color="auto" w:fill="C0530F"/>
            <w:tcMar>
              <w:top w:w="60" w:type="dxa"/>
              <w:left w:w="130" w:type="dxa"/>
              <w:bottom w:w="60" w:type="dxa"/>
              <w:right w:w="110" w:type="dxa"/>
            </w:tcMar>
            <w:vAlign w:val="center"/>
          </w:tcPr>
          <w:p w14:paraId="6CB6C115" w14:textId="77777777" w:rsidR="00F77C0B" w:rsidRDefault="00000000">
            <w:pPr>
              <w:spacing w:line="248" w:lineRule="auto"/>
            </w:pPr>
            <w:r>
              <w:rPr>
                <w:b/>
                <w:bCs/>
                <w:color w:val="FFFFFF"/>
                <w:sz w:val="20"/>
                <w:szCs w:val="20"/>
              </w:rPr>
              <w:t>Option</w:t>
            </w:r>
          </w:p>
        </w:tc>
        <w:tc>
          <w:tcPr>
            <w:tcW w:w="4646" w:type="dxa"/>
            <w:tcBorders>
              <w:top w:val="single" w:sz="4" w:space="0" w:color="C0530F"/>
              <w:left w:val="single" w:sz="4" w:space="0" w:color="C0530F"/>
              <w:bottom w:val="single" w:sz="4" w:space="0" w:color="C0530F"/>
              <w:right w:val="single" w:sz="4" w:space="0" w:color="C0530F"/>
            </w:tcBorders>
            <w:shd w:val="clear" w:color="auto" w:fill="C0530F"/>
            <w:tcMar>
              <w:top w:w="60" w:type="dxa"/>
              <w:left w:w="130" w:type="dxa"/>
              <w:bottom w:w="60" w:type="dxa"/>
              <w:right w:w="110" w:type="dxa"/>
            </w:tcMar>
            <w:vAlign w:val="center"/>
          </w:tcPr>
          <w:p w14:paraId="3A1A2F47" w14:textId="77777777" w:rsidR="00F77C0B" w:rsidRDefault="00000000">
            <w:pPr>
              <w:spacing w:line="248" w:lineRule="auto"/>
            </w:pPr>
            <w:r>
              <w:rPr>
                <w:b/>
                <w:bCs/>
                <w:color w:val="FFFFFF"/>
                <w:sz w:val="20"/>
                <w:szCs w:val="20"/>
              </w:rPr>
              <w:t>How to use it (verify dose in the BNF)</w:t>
            </w:r>
          </w:p>
        </w:tc>
        <w:tc>
          <w:tcPr>
            <w:tcW w:w="2800" w:type="dxa"/>
            <w:tcBorders>
              <w:top w:val="single" w:sz="4" w:space="0" w:color="C0530F"/>
              <w:left w:val="single" w:sz="4" w:space="0" w:color="C0530F"/>
              <w:bottom w:val="single" w:sz="4" w:space="0" w:color="C0530F"/>
              <w:right w:val="single" w:sz="4" w:space="0" w:color="C0530F"/>
            </w:tcBorders>
            <w:shd w:val="clear" w:color="auto" w:fill="C0530F"/>
            <w:tcMar>
              <w:top w:w="60" w:type="dxa"/>
              <w:left w:w="130" w:type="dxa"/>
              <w:bottom w:w="60" w:type="dxa"/>
              <w:right w:w="110" w:type="dxa"/>
            </w:tcMar>
            <w:vAlign w:val="center"/>
          </w:tcPr>
          <w:p w14:paraId="199478F5" w14:textId="77777777" w:rsidR="00F77C0B" w:rsidRDefault="00000000">
            <w:pPr>
              <w:spacing w:line="248" w:lineRule="auto"/>
            </w:pPr>
            <w:r>
              <w:rPr>
                <w:b/>
                <w:bCs/>
                <w:color w:val="FFFFFF"/>
                <w:sz w:val="20"/>
                <w:szCs w:val="20"/>
              </w:rPr>
              <w:t>Best when…</w:t>
            </w:r>
          </w:p>
        </w:tc>
      </w:tr>
      <w:tr w:rsidR="00F77C0B" w14:paraId="2644A670" w14:textId="77777777">
        <w:tblPrEx>
          <w:tblCellMar>
            <w:top w:w="0" w:type="dxa"/>
            <w:bottom w:w="0" w:type="dxa"/>
          </w:tblCellMar>
        </w:tblPrEx>
        <w:trPr>
          <w:cantSplit/>
        </w:trPr>
        <w:tc>
          <w:tcPr>
            <w:tcW w:w="23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E35009F" w14:textId="77777777" w:rsidR="00F77C0B" w:rsidRDefault="00000000">
            <w:pPr>
              <w:spacing w:line="248" w:lineRule="auto"/>
            </w:pPr>
            <w:r>
              <w:rPr>
                <w:b/>
                <w:bCs/>
                <w:sz w:val="20"/>
                <w:szCs w:val="20"/>
              </w:rPr>
              <w:t>NSAID + PPI</w:t>
            </w:r>
          </w:p>
        </w:tc>
        <w:tc>
          <w:tcPr>
            <w:tcW w:w="46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2659EC4" w14:textId="77777777" w:rsidR="00F77C0B" w:rsidRDefault="00000000">
            <w:pPr>
              <w:spacing w:line="248" w:lineRule="auto"/>
            </w:pPr>
            <w:r>
              <w:rPr>
                <w:sz w:val="20"/>
                <w:szCs w:val="20"/>
              </w:rPr>
              <w:t>Maximum dose for the shortest time needed, with a proton-pump inhibitor for gastric protection.</w:t>
            </w:r>
          </w:p>
        </w:tc>
        <w:tc>
          <w:tcPr>
            <w:tcW w:w="28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F88983A" w14:textId="77777777" w:rsidR="00F77C0B" w:rsidRDefault="00000000">
            <w:pPr>
              <w:spacing w:line="248" w:lineRule="auto"/>
            </w:pPr>
            <w:r>
              <w:rPr>
                <w:sz w:val="20"/>
                <w:szCs w:val="20"/>
              </w:rPr>
              <w:t>Younger patient, no significant kidney / heart / GI risk.</w:t>
            </w:r>
          </w:p>
        </w:tc>
      </w:tr>
      <w:tr w:rsidR="00F77C0B" w14:paraId="5BC37DB3" w14:textId="77777777">
        <w:tblPrEx>
          <w:tblCellMar>
            <w:top w:w="0" w:type="dxa"/>
            <w:bottom w:w="0" w:type="dxa"/>
          </w:tblCellMar>
        </w:tblPrEx>
        <w:trPr>
          <w:cantSplit/>
        </w:trPr>
        <w:tc>
          <w:tcPr>
            <w:tcW w:w="23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2B1E776" w14:textId="77777777" w:rsidR="00F77C0B" w:rsidRDefault="00000000">
            <w:pPr>
              <w:spacing w:line="248" w:lineRule="auto"/>
            </w:pPr>
            <w:r>
              <w:rPr>
                <w:b/>
                <w:bCs/>
                <w:sz w:val="20"/>
                <w:szCs w:val="20"/>
              </w:rPr>
              <w:t>Colchicine</w:t>
            </w:r>
          </w:p>
        </w:tc>
        <w:tc>
          <w:tcPr>
            <w:tcW w:w="46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E096C5C" w14:textId="77777777" w:rsidR="00F77C0B" w:rsidRDefault="00000000">
            <w:pPr>
              <w:spacing w:line="248" w:lineRule="auto"/>
            </w:pPr>
            <w:r>
              <w:rPr>
                <w:b/>
                <w:bCs/>
                <w:sz w:val="20"/>
                <w:szCs w:val="20"/>
              </w:rPr>
              <w:t>500 micrograms 2–4 times a day</w:t>
            </w:r>
            <w:r>
              <w:rPr>
                <w:sz w:val="20"/>
                <w:szCs w:val="20"/>
              </w:rPr>
              <w:t xml:space="preserve"> until symptoms settle. Max 6 mg per course; do not repeat a course within 3 days. Many use 2–3 times daily to limit diarrhoea. Reduce in renal impairment; caution with statins.</w:t>
            </w:r>
          </w:p>
        </w:tc>
        <w:tc>
          <w:tcPr>
            <w:tcW w:w="28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7A8F0519" w14:textId="77777777" w:rsidR="00F77C0B" w:rsidRDefault="00000000">
            <w:pPr>
              <w:spacing w:line="248" w:lineRule="auto"/>
            </w:pPr>
            <w:r>
              <w:rPr>
                <w:sz w:val="20"/>
                <w:szCs w:val="20"/>
              </w:rPr>
              <w:t>NSAID unsuitable; heart failure; on anticoagulants.</w:t>
            </w:r>
          </w:p>
        </w:tc>
      </w:tr>
      <w:tr w:rsidR="00F77C0B" w14:paraId="572BE5BB" w14:textId="77777777">
        <w:tblPrEx>
          <w:tblCellMar>
            <w:top w:w="0" w:type="dxa"/>
            <w:bottom w:w="0" w:type="dxa"/>
          </w:tblCellMar>
        </w:tblPrEx>
        <w:trPr>
          <w:cantSplit/>
        </w:trPr>
        <w:tc>
          <w:tcPr>
            <w:tcW w:w="23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5BA3256" w14:textId="77777777" w:rsidR="00F77C0B" w:rsidRDefault="00000000">
            <w:pPr>
              <w:spacing w:line="248" w:lineRule="auto"/>
            </w:pPr>
            <w:r>
              <w:rPr>
                <w:b/>
                <w:bCs/>
                <w:sz w:val="20"/>
                <w:szCs w:val="20"/>
              </w:rPr>
              <w:t>Oral steroid</w:t>
            </w:r>
          </w:p>
        </w:tc>
        <w:tc>
          <w:tcPr>
            <w:tcW w:w="46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32A062E" w14:textId="77777777" w:rsidR="00F77C0B" w:rsidRDefault="00000000">
            <w:pPr>
              <w:spacing w:line="248" w:lineRule="auto"/>
            </w:pPr>
            <w:r>
              <w:rPr>
                <w:b/>
                <w:bCs/>
                <w:sz w:val="20"/>
                <w:szCs w:val="20"/>
              </w:rPr>
              <w:t>Short course of oral prednisolone (e.g. 30–35 mg once daily for 3–5 days).</w:t>
            </w:r>
          </w:p>
        </w:tc>
        <w:tc>
          <w:tcPr>
            <w:tcW w:w="28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E3BCCC7" w14:textId="77777777" w:rsidR="00F77C0B" w:rsidRDefault="00000000">
            <w:pPr>
              <w:spacing w:line="248" w:lineRule="auto"/>
            </w:pPr>
            <w:r>
              <w:rPr>
                <w:sz w:val="20"/>
                <w:szCs w:val="20"/>
              </w:rPr>
              <w:t>NSAID and colchicine both unsuitable; CKD.</w:t>
            </w:r>
          </w:p>
        </w:tc>
      </w:tr>
    </w:tbl>
    <w:p w14:paraId="4A191604" w14:textId="77777777" w:rsidR="00F77C0B" w:rsidRDefault="00000000">
      <w:pPr>
        <w:spacing w:before="60" w:after="120" w:line="264" w:lineRule="auto"/>
      </w:pPr>
      <w:r>
        <w:t xml:space="preserve">For a single joint with infection excluded, an </w:t>
      </w:r>
      <w:r>
        <w:rPr>
          <w:b/>
          <w:bCs/>
        </w:rPr>
        <w:t>intra-articular or intramuscular corticosteroid</w:t>
      </w:r>
      <w:r>
        <w:t xml:space="preserve"> injection is also a good option.</w:t>
      </w:r>
    </w:p>
    <w:tbl>
      <w:tblPr>
        <w:tblW w:w="9746" w:type="dxa"/>
        <w:tblInd w:w="-35" w:type="dxa"/>
        <w:tblBorders>
          <w:top w:val="single" w:sz="2" w:space="0" w:color="E08600"/>
          <w:left w:val="single" w:sz="28" w:space="0" w:color="E08600"/>
          <w:bottom w:val="single" w:sz="2" w:space="0" w:color="E08600"/>
          <w:right w:val="single" w:sz="2" w:space="0" w:color="E08600"/>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
        <w:gridCol w:w="25"/>
        <w:gridCol w:w="9651"/>
        <w:gridCol w:w="35"/>
      </w:tblGrid>
      <w:tr w:rsidR="00F77C0B" w14:paraId="5FD52DA9" w14:textId="77777777">
        <w:tblPrEx>
          <w:tblCellMar>
            <w:top w:w="0" w:type="dxa"/>
            <w:bottom w:w="0" w:type="dxa"/>
          </w:tblCellMar>
        </w:tblPrEx>
        <w:trPr>
          <w:gridBefore w:val="1"/>
          <w:wBefore w:w="35" w:type="dxa"/>
          <w:cantSplit/>
        </w:trPr>
        <w:tc>
          <w:tcPr>
            <w:tcW w:w="9746" w:type="dxa"/>
            <w:gridSpan w:val="3"/>
            <w:shd w:val="clear" w:color="auto" w:fill="FEF4E2"/>
            <w:tcMar>
              <w:top w:w="110" w:type="dxa"/>
              <w:left w:w="200" w:type="dxa"/>
              <w:bottom w:w="110" w:type="dxa"/>
              <w:right w:w="160" w:type="dxa"/>
            </w:tcMar>
          </w:tcPr>
          <w:p w14:paraId="3F6E848D" w14:textId="77777777" w:rsidR="00F77C0B" w:rsidRDefault="00000000">
            <w:pPr>
              <w:spacing w:after="70" w:line="248" w:lineRule="auto"/>
            </w:pPr>
            <w:proofErr w:type="gramStart"/>
            <w:r>
              <w:rPr>
                <w:b/>
                <w:bCs/>
                <w:color w:val="9A5B00"/>
              </w:rPr>
              <w:t>↻  Do</w:t>
            </w:r>
            <w:proofErr w:type="gramEnd"/>
            <w:r>
              <w:rPr>
                <w:b/>
                <w:bCs/>
                <w:color w:val="9A5B00"/>
              </w:rPr>
              <w:t xml:space="preserve"> NOT stop existing urate-lowering therapy during a flare</w:t>
            </w:r>
          </w:p>
          <w:p w14:paraId="0DDFDAAF" w14:textId="77777777" w:rsidR="00F77C0B" w:rsidRDefault="00000000">
            <w:pPr>
              <w:spacing w:line="252" w:lineRule="auto"/>
            </w:pPr>
            <w:r>
              <w:t>If the patient is already established on allopurinol or febuxostat, keep it going and treat the flare on top. Stopping and restarting urate-lowering therapy just provokes further flares.</w:t>
            </w:r>
          </w:p>
        </w:tc>
      </w:tr>
      <w:tr w:rsidR="00F77C0B" w14:paraId="6C711664"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C0530F"/>
            <w:tcMar>
              <w:top w:w="0" w:type="dxa"/>
              <w:left w:w="0" w:type="dxa"/>
              <w:bottom w:w="0" w:type="dxa"/>
              <w:right w:w="0" w:type="dxa"/>
            </w:tcMar>
          </w:tcPr>
          <w:p w14:paraId="10458E2E" w14:textId="77777777" w:rsidR="00F77C0B" w:rsidRDefault="00F77C0B"/>
        </w:tc>
        <w:tc>
          <w:tcPr>
            <w:tcW w:w="9686" w:type="dxa"/>
            <w:shd w:val="clear" w:color="auto" w:fill="F4F6F8"/>
            <w:tcMar>
              <w:top w:w="70" w:type="dxa"/>
              <w:left w:w="150" w:type="dxa"/>
              <w:bottom w:w="70" w:type="dxa"/>
              <w:right w:w="120" w:type="dxa"/>
            </w:tcMar>
            <w:vAlign w:val="center"/>
          </w:tcPr>
          <w:p w14:paraId="576C2FC2" w14:textId="77777777" w:rsidR="00F77C0B" w:rsidRDefault="00000000">
            <w:pPr>
              <w:spacing w:line="252" w:lineRule="auto"/>
            </w:pPr>
            <w:r>
              <w:rPr>
                <w:b/>
                <w:bCs/>
                <w:color w:val="21303D"/>
                <w:sz w:val="27"/>
                <w:szCs w:val="27"/>
              </w:rPr>
              <w:t xml:space="preserve">Lower the </w:t>
            </w:r>
            <w:proofErr w:type="gramStart"/>
            <w:r>
              <w:rPr>
                <w:b/>
                <w:bCs/>
                <w:color w:val="21303D"/>
                <w:sz w:val="27"/>
                <w:szCs w:val="27"/>
              </w:rPr>
              <w:t>urate  ·</w:t>
            </w:r>
            <w:proofErr w:type="gramEnd"/>
            <w:r>
              <w:rPr>
                <w:b/>
                <w:bCs/>
                <w:color w:val="21303D"/>
                <w:sz w:val="27"/>
                <w:szCs w:val="27"/>
              </w:rPr>
              <w:t xml:space="preserve">  Long-term, treat-to-target</w:t>
            </w:r>
          </w:p>
        </w:tc>
      </w:tr>
    </w:tbl>
    <w:p w14:paraId="4974F044" w14:textId="77777777" w:rsidR="00F77C0B" w:rsidRDefault="00000000">
      <w:pPr>
        <w:spacing w:after="120" w:line="264" w:lineRule="auto"/>
      </w:pPr>
      <w:r>
        <w:t xml:space="preserve">Settling flares is short-term relief. The real cure is </w:t>
      </w:r>
      <w:r>
        <w:rPr>
          <w:b/>
          <w:bCs/>
        </w:rPr>
        <w:t>lowering the blood urate until the crystals dissolve</w:t>
      </w:r>
      <w:r>
        <w:t xml:space="preserve"> — a “treat-to-target” approach.</w:t>
      </w:r>
    </w:p>
    <w:p w14:paraId="263236F3" w14:textId="77777777" w:rsidR="00F77C0B" w:rsidRDefault="00000000">
      <w:pPr>
        <w:keepNext/>
        <w:keepLines/>
        <w:spacing w:before="200" w:after="90" w:line="252" w:lineRule="auto"/>
      </w:pPr>
      <w:r>
        <w:rPr>
          <w:color w:val="C0530F"/>
          <w:sz w:val="24"/>
          <w:szCs w:val="24"/>
        </w:rPr>
        <w:t>▍</w:t>
      </w:r>
      <w:r>
        <w:rPr>
          <w:b/>
          <w:bCs/>
          <w:color w:val="21303D"/>
          <w:sz w:val="23"/>
          <w:szCs w:val="23"/>
        </w:rPr>
        <w:t xml:space="preserve"> Who should be offered urate-lowering therapy (ULT)?</w:t>
      </w:r>
    </w:p>
    <w:p w14:paraId="6F72BE5F" w14:textId="77777777" w:rsidR="00F77C0B" w:rsidRDefault="00000000">
      <w:pPr>
        <w:spacing w:after="60" w:line="264" w:lineRule="auto"/>
      </w:pPr>
      <w:r>
        <w:t xml:space="preserve">Discuss ULT with </w:t>
      </w:r>
      <w:r>
        <w:rPr>
          <w:b/>
          <w:bCs/>
        </w:rPr>
        <w:t>everyone after a gout flare</w:t>
      </w:r>
      <w:r>
        <w:t>. Be more proactive in offering it if any of these are present:</w:t>
      </w:r>
    </w:p>
    <w:p w14:paraId="1FFE4843" w14:textId="77777777" w:rsidR="00F77C0B" w:rsidRDefault="00000000">
      <w:pPr>
        <w:pStyle w:val="ListParagraph"/>
        <w:numPr>
          <w:ilvl w:val="0"/>
          <w:numId w:val="3"/>
        </w:numPr>
        <w:spacing w:after="60" w:line="252" w:lineRule="auto"/>
      </w:pPr>
      <w:r>
        <w:t>two or more flares a year</w:t>
      </w:r>
    </w:p>
    <w:p w14:paraId="7926EEA7" w14:textId="77777777" w:rsidR="00F77C0B" w:rsidRDefault="00000000">
      <w:pPr>
        <w:pStyle w:val="ListParagraph"/>
        <w:numPr>
          <w:ilvl w:val="0"/>
          <w:numId w:val="3"/>
        </w:numPr>
        <w:spacing w:after="60" w:line="252" w:lineRule="auto"/>
      </w:pPr>
      <w:r>
        <w:t>tophi, or chronic gouty arthritis, or joint damage</w:t>
      </w:r>
    </w:p>
    <w:p w14:paraId="659E8556" w14:textId="77777777" w:rsidR="00F77C0B" w:rsidRDefault="00000000">
      <w:pPr>
        <w:pStyle w:val="ListParagraph"/>
        <w:numPr>
          <w:ilvl w:val="0"/>
          <w:numId w:val="3"/>
        </w:numPr>
        <w:spacing w:after="60" w:line="252" w:lineRule="auto"/>
      </w:pPr>
      <w:r>
        <w:t>chronic kidney disease (stage 3–5), or taking a diuretic</w:t>
      </w:r>
    </w:p>
    <w:p w14:paraId="0D6E1A13" w14:textId="77777777" w:rsidR="00F77C0B" w:rsidRDefault="00000000">
      <w:pPr>
        <w:keepNext/>
        <w:keepLines/>
        <w:spacing w:before="200" w:after="90" w:line="252" w:lineRule="auto"/>
      </w:pPr>
      <w:r>
        <w:rPr>
          <w:color w:val="C0530F"/>
          <w:sz w:val="24"/>
          <w:szCs w:val="24"/>
        </w:rPr>
        <w:t>▍</w:t>
      </w:r>
      <w:r>
        <w:rPr>
          <w:b/>
          <w:bCs/>
          <w:color w:val="21303D"/>
          <w:sz w:val="23"/>
          <w:szCs w:val="23"/>
        </w:rPr>
        <w:t xml:space="preserve"> How to start and titrate</w:t>
      </w:r>
    </w:p>
    <w:p w14:paraId="53EAF89C" w14:textId="77777777" w:rsidR="00F77C0B" w:rsidRDefault="00000000">
      <w:pPr>
        <w:pStyle w:val="ListParagraph"/>
        <w:numPr>
          <w:ilvl w:val="0"/>
          <w:numId w:val="4"/>
        </w:numPr>
        <w:spacing w:after="60" w:line="252" w:lineRule="auto"/>
      </w:pPr>
      <w:r>
        <w:rPr>
          <w:b/>
          <w:bCs/>
        </w:rPr>
        <w:t xml:space="preserve">Choose the drug. </w:t>
      </w:r>
      <w:r>
        <w:t xml:space="preserve">Allopurinol or febuxostat are both </w:t>
      </w:r>
      <w:proofErr w:type="gramStart"/>
      <w:r>
        <w:t>first-line</w:t>
      </w:r>
      <w:proofErr w:type="gramEnd"/>
      <w:r>
        <w:t xml:space="preserve">. </w:t>
      </w:r>
      <w:r>
        <w:rPr>
          <w:b/>
          <w:bCs/>
        </w:rPr>
        <w:t>Prefer allopurinol if the patient has major cardiovascular disease</w:t>
      </w:r>
      <w:r>
        <w:t xml:space="preserve"> — febuxostat carries a higher risk of cardiovascular death (MHRA).</w:t>
      </w:r>
    </w:p>
    <w:p w14:paraId="78504ADD" w14:textId="77777777" w:rsidR="00F77C0B" w:rsidRDefault="00000000">
      <w:pPr>
        <w:pStyle w:val="ListParagraph"/>
        <w:numPr>
          <w:ilvl w:val="0"/>
          <w:numId w:val="4"/>
        </w:numPr>
        <w:spacing w:after="60" w:line="252" w:lineRule="auto"/>
      </w:pPr>
      <w:r>
        <w:rPr>
          <w:b/>
          <w:bCs/>
        </w:rPr>
        <w:t xml:space="preserve">Start low. </w:t>
      </w:r>
      <w:r>
        <w:t>Allopurinol 100 mg once daily (lower in CKD). Starting too high risks a dangerous hypersensitivity reaction — warn the patient to stop and seek help if a rash appears.</w:t>
      </w:r>
    </w:p>
    <w:p w14:paraId="3B550A74" w14:textId="77777777" w:rsidR="00F77C0B" w:rsidRDefault="00000000">
      <w:pPr>
        <w:pStyle w:val="ListParagraph"/>
        <w:numPr>
          <w:ilvl w:val="0"/>
          <w:numId w:val="4"/>
        </w:numPr>
        <w:spacing w:after="60" w:line="252" w:lineRule="auto"/>
      </w:pPr>
      <w:r>
        <w:rPr>
          <w:b/>
          <w:bCs/>
        </w:rPr>
        <w:t xml:space="preserve">Titrate to target. </w:t>
      </w:r>
      <w:r>
        <w:t>Increase by 100 mg roughly every 4 weeks, checking the urate each time, until the target is reached.</w:t>
      </w:r>
    </w:p>
    <w:p w14:paraId="487EDBE2" w14:textId="77777777" w:rsidR="00F77C0B" w:rsidRDefault="00000000">
      <w:pPr>
        <w:pStyle w:val="ListParagraph"/>
        <w:numPr>
          <w:ilvl w:val="0"/>
          <w:numId w:val="4"/>
        </w:numPr>
        <w:spacing w:after="60" w:line="252" w:lineRule="auto"/>
      </w:pPr>
      <w:r>
        <w:rPr>
          <w:b/>
          <w:bCs/>
        </w:rPr>
        <w:t xml:space="preserve">Cover the start with prophylaxis. </w:t>
      </w:r>
      <w:r>
        <w:t>Starting or increasing ULT can itself trigger a flare. Co-prescribe colchicine 500 micrograms once or twice daily (or a low-dose NSAID/steroid) for at least the first 3–6 months.</w:t>
      </w:r>
    </w:p>
    <w:p w14:paraId="45C63B7A" w14:textId="77777777" w:rsidR="00F77C0B" w:rsidRDefault="00000000">
      <w:pPr>
        <w:pStyle w:val="ListParagraph"/>
        <w:numPr>
          <w:ilvl w:val="0"/>
          <w:numId w:val="4"/>
        </w:numPr>
        <w:spacing w:after="60" w:line="252" w:lineRule="auto"/>
      </w:pPr>
      <w:r>
        <w:rPr>
          <w:b/>
          <w:bCs/>
        </w:rPr>
        <w:t xml:space="preserve">Switch if needed. </w:t>
      </w:r>
      <w:r>
        <w:t>If you cannot reach target or the drug is not tolerated, change to the alternative agent.</w:t>
      </w:r>
    </w:p>
    <w:tbl>
      <w:tblPr>
        <w:tblW w:w="9746" w:type="dxa"/>
        <w:tblInd w:w="-35" w:type="dxa"/>
        <w:tblBorders>
          <w:top w:val="single" w:sz="2" w:space="0" w:color="2EA057"/>
          <w:left w:val="single" w:sz="28" w:space="0" w:color="2EA057"/>
          <w:bottom w:val="single" w:sz="2" w:space="0" w:color="2EA057"/>
          <w:right w:val="single" w:sz="2" w:space="0" w:color="2EA057"/>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
        <w:gridCol w:w="25"/>
        <w:gridCol w:w="9651"/>
        <w:gridCol w:w="35"/>
      </w:tblGrid>
      <w:tr w:rsidR="00F77C0B" w14:paraId="6DA1EE25" w14:textId="77777777">
        <w:tblPrEx>
          <w:tblCellMar>
            <w:top w:w="0" w:type="dxa"/>
            <w:bottom w:w="0" w:type="dxa"/>
          </w:tblCellMar>
        </w:tblPrEx>
        <w:trPr>
          <w:gridBefore w:val="1"/>
          <w:wBefore w:w="35" w:type="dxa"/>
          <w:cantSplit/>
        </w:trPr>
        <w:tc>
          <w:tcPr>
            <w:tcW w:w="9746" w:type="dxa"/>
            <w:gridSpan w:val="3"/>
            <w:shd w:val="clear" w:color="auto" w:fill="E8F5EC"/>
            <w:tcMar>
              <w:top w:w="110" w:type="dxa"/>
              <w:left w:w="200" w:type="dxa"/>
              <w:bottom w:w="110" w:type="dxa"/>
              <w:right w:w="160" w:type="dxa"/>
            </w:tcMar>
          </w:tcPr>
          <w:p w14:paraId="60E49102" w14:textId="77777777" w:rsidR="00F77C0B" w:rsidRDefault="00000000">
            <w:pPr>
              <w:spacing w:after="70" w:line="248" w:lineRule="auto"/>
            </w:pPr>
            <w:proofErr w:type="gramStart"/>
            <w:r>
              <w:rPr>
                <w:b/>
                <w:bCs/>
                <w:color w:val="1E7A40"/>
              </w:rPr>
              <w:lastRenderedPageBreak/>
              <w:t>◎  Targets</w:t>
            </w:r>
            <w:proofErr w:type="gramEnd"/>
            <w:r>
              <w:rPr>
                <w:b/>
                <w:bCs/>
                <w:color w:val="1E7A40"/>
              </w:rPr>
              <w:t xml:space="preserve"> &amp; monitoring</w:t>
            </w:r>
          </w:p>
          <w:p w14:paraId="3B9BE3D3" w14:textId="77777777" w:rsidR="00F77C0B" w:rsidRDefault="00000000">
            <w:pPr>
              <w:pStyle w:val="ListParagraph"/>
              <w:numPr>
                <w:ilvl w:val="0"/>
                <w:numId w:val="5"/>
              </w:numPr>
              <w:spacing w:after="50" w:line="248" w:lineRule="auto"/>
            </w:pPr>
            <w:r>
              <w:rPr>
                <w:b/>
                <w:bCs/>
              </w:rPr>
              <w:t xml:space="preserve">Aim for serum urate below 360 </w:t>
            </w:r>
            <w:proofErr w:type="spellStart"/>
            <w:r>
              <w:rPr>
                <w:b/>
                <w:bCs/>
              </w:rPr>
              <w:t>micromol</w:t>
            </w:r>
            <w:proofErr w:type="spellEnd"/>
            <w:r>
              <w:rPr>
                <w:b/>
                <w:bCs/>
              </w:rPr>
              <w:t>/L</w:t>
            </w:r>
            <w:r>
              <w:t xml:space="preserve"> for most people.</w:t>
            </w:r>
          </w:p>
          <w:p w14:paraId="667FF748" w14:textId="77777777" w:rsidR="00F77C0B" w:rsidRDefault="00000000">
            <w:pPr>
              <w:pStyle w:val="ListParagraph"/>
              <w:numPr>
                <w:ilvl w:val="0"/>
                <w:numId w:val="5"/>
              </w:numPr>
              <w:spacing w:after="50" w:line="248" w:lineRule="auto"/>
            </w:pPr>
            <w:r>
              <w:rPr>
                <w:b/>
                <w:bCs/>
              </w:rPr>
              <w:t xml:space="preserve">Aim below 300 </w:t>
            </w:r>
            <w:proofErr w:type="spellStart"/>
            <w:r>
              <w:rPr>
                <w:b/>
                <w:bCs/>
              </w:rPr>
              <w:t>micromol</w:t>
            </w:r>
            <w:proofErr w:type="spellEnd"/>
            <w:r>
              <w:rPr>
                <w:b/>
                <w:bCs/>
              </w:rPr>
              <w:t>/L</w:t>
            </w:r>
            <w:r>
              <w:t xml:space="preserve"> if there are tophi, chronic gouty arthritis, or ongoing frequent flares.</w:t>
            </w:r>
          </w:p>
          <w:p w14:paraId="563E78FF" w14:textId="77777777" w:rsidR="00F77C0B" w:rsidRDefault="00000000">
            <w:pPr>
              <w:pStyle w:val="ListParagraph"/>
              <w:numPr>
                <w:ilvl w:val="0"/>
                <w:numId w:val="5"/>
              </w:numPr>
              <w:spacing w:after="50" w:line="248" w:lineRule="auto"/>
            </w:pPr>
            <w:r>
              <w:rPr>
                <w:b/>
                <w:bCs/>
              </w:rPr>
              <w:t>ULT is usually lifelong. Once at target, check the urate annually.</w:t>
            </w:r>
          </w:p>
          <w:p w14:paraId="35B4A16F" w14:textId="77777777" w:rsidR="00F77C0B" w:rsidRDefault="00000000">
            <w:pPr>
              <w:pStyle w:val="ListParagraph"/>
              <w:numPr>
                <w:ilvl w:val="0"/>
                <w:numId w:val="5"/>
              </w:numPr>
              <w:spacing w:line="248" w:lineRule="auto"/>
            </w:pPr>
            <w:r>
              <w:t>Be patient: gout can still flare for up to a year after the urate normalises, and tophi can take ~2 years to disappear. Warn the patient so they don't lose faith in treatment.</w:t>
            </w:r>
          </w:p>
        </w:tc>
      </w:tr>
      <w:tr w:rsidR="00F77C0B" w14:paraId="75CEBB8E"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C0530F"/>
            <w:tcMar>
              <w:top w:w="0" w:type="dxa"/>
              <w:left w:w="0" w:type="dxa"/>
              <w:bottom w:w="0" w:type="dxa"/>
              <w:right w:w="0" w:type="dxa"/>
            </w:tcMar>
          </w:tcPr>
          <w:p w14:paraId="783A04F0" w14:textId="77777777" w:rsidR="00F77C0B" w:rsidRDefault="00F77C0B"/>
        </w:tc>
        <w:tc>
          <w:tcPr>
            <w:tcW w:w="9686" w:type="dxa"/>
            <w:shd w:val="clear" w:color="auto" w:fill="F4F6F8"/>
            <w:tcMar>
              <w:top w:w="70" w:type="dxa"/>
              <w:left w:w="150" w:type="dxa"/>
              <w:bottom w:w="70" w:type="dxa"/>
              <w:right w:w="120" w:type="dxa"/>
            </w:tcMar>
            <w:vAlign w:val="center"/>
          </w:tcPr>
          <w:p w14:paraId="64DC62FF" w14:textId="77777777" w:rsidR="00F77C0B" w:rsidRDefault="00000000">
            <w:pPr>
              <w:spacing w:line="252" w:lineRule="auto"/>
            </w:pPr>
            <w:r>
              <w:rPr>
                <w:b/>
                <w:bCs/>
                <w:color w:val="21303D"/>
                <w:sz w:val="27"/>
                <w:szCs w:val="27"/>
              </w:rPr>
              <w:t xml:space="preserve">Address the </w:t>
            </w:r>
            <w:proofErr w:type="gramStart"/>
            <w:r>
              <w:rPr>
                <w:b/>
                <w:bCs/>
                <w:color w:val="21303D"/>
                <w:sz w:val="27"/>
                <w:szCs w:val="27"/>
              </w:rPr>
              <w:t>drivers  ·</w:t>
            </w:r>
            <w:proofErr w:type="gramEnd"/>
            <w:r>
              <w:rPr>
                <w:b/>
                <w:bCs/>
                <w:color w:val="21303D"/>
                <w:sz w:val="27"/>
                <w:szCs w:val="27"/>
              </w:rPr>
              <w:t xml:space="preserve">  Lifestyle &amp; medicines</w:t>
            </w:r>
          </w:p>
        </w:tc>
      </w:tr>
    </w:tbl>
    <w:p w14:paraId="16FE3E82" w14:textId="77777777" w:rsidR="00F77C0B" w:rsidRDefault="00000000">
      <w:pPr>
        <w:spacing w:after="60" w:line="264" w:lineRule="auto"/>
      </w:pPr>
      <w:r>
        <w:t xml:space="preserve">Lifestyle change supports ULT — it rarely normalises urate on its own, so frame it as </w:t>
      </w:r>
      <w:r>
        <w:rPr>
          <w:b/>
          <w:bCs/>
        </w:rPr>
        <w:t>helpful, not a substitute for medication</w:t>
      </w:r>
      <w:r>
        <w:t>.</w:t>
      </w:r>
    </w:p>
    <w:p w14:paraId="32B0C7E3" w14:textId="77777777" w:rsidR="00F77C0B" w:rsidRDefault="00000000">
      <w:pPr>
        <w:pStyle w:val="ListParagraph"/>
        <w:numPr>
          <w:ilvl w:val="0"/>
          <w:numId w:val="3"/>
        </w:numPr>
        <w:spacing w:after="60" w:line="252" w:lineRule="auto"/>
      </w:pPr>
      <w:r>
        <w:rPr>
          <w:b/>
          <w:bCs/>
        </w:rPr>
        <w:t xml:space="preserve">Weight &amp; diet: </w:t>
      </w:r>
      <w:r>
        <w:t>support weight loss if overweight; a Mediterranean-style diet; stay well hydrated.</w:t>
      </w:r>
    </w:p>
    <w:p w14:paraId="42F10DF5" w14:textId="77777777" w:rsidR="00F77C0B" w:rsidRDefault="00000000">
      <w:pPr>
        <w:pStyle w:val="ListParagraph"/>
        <w:numPr>
          <w:ilvl w:val="0"/>
          <w:numId w:val="3"/>
        </w:numPr>
        <w:spacing w:after="60" w:line="252" w:lineRule="auto"/>
      </w:pPr>
      <w:r>
        <w:rPr>
          <w:b/>
          <w:bCs/>
        </w:rPr>
        <w:t xml:space="preserve">Cut down: </w:t>
      </w:r>
      <w:r>
        <w:t>alcohol (especially beer and spirits), and sugar-sweetened / fructose drinks; reduce purine-rich foods (red meat, offal, oily fish and seafood).</w:t>
      </w:r>
    </w:p>
    <w:p w14:paraId="34B13636" w14:textId="77777777" w:rsidR="00F77C0B" w:rsidRDefault="00000000">
      <w:pPr>
        <w:pStyle w:val="ListParagraph"/>
        <w:numPr>
          <w:ilvl w:val="0"/>
          <w:numId w:val="3"/>
        </w:numPr>
        <w:spacing w:after="60" w:line="252" w:lineRule="auto"/>
      </w:pPr>
      <w:r>
        <w:rPr>
          <w:b/>
          <w:bCs/>
        </w:rPr>
        <w:t xml:space="preserve">May modestly help (low-grade evidence): </w:t>
      </w:r>
      <w:r>
        <w:t>skimmed dairy, cherries, coffee and vitamin C — offer as supportive, not as treatment.</w:t>
      </w:r>
    </w:p>
    <w:p w14:paraId="0D799707" w14:textId="77777777" w:rsidR="00F77C0B" w:rsidRDefault="00000000">
      <w:pPr>
        <w:pStyle w:val="ListParagraph"/>
        <w:numPr>
          <w:ilvl w:val="0"/>
          <w:numId w:val="3"/>
        </w:numPr>
        <w:spacing w:after="60" w:line="252" w:lineRule="auto"/>
      </w:pPr>
      <w:r>
        <w:rPr>
          <w:b/>
          <w:bCs/>
        </w:rPr>
        <w:t xml:space="preserve">Review urate-raising medicines: </w:t>
      </w:r>
      <w:r>
        <w:t>thiazide and loop diuretics raise urate — switch if you can. Optimise blood pressure, glucose, lipids and kidney function.</w:t>
      </w:r>
    </w:p>
    <w:p w14:paraId="0CA3A01E" w14:textId="77777777" w:rsidR="00F77C0B" w:rsidRDefault="00000000">
      <w:pPr>
        <w:pStyle w:val="ListParagraph"/>
        <w:numPr>
          <w:ilvl w:val="0"/>
          <w:numId w:val="3"/>
        </w:numPr>
        <w:spacing w:after="60" w:line="252" w:lineRule="auto"/>
      </w:pPr>
      <w:r>
        <w:rPr>
          <w:b/>
          <w:bCs/>
        </w:rPr>
        <w:t xml:space="preserve">Aspirin: </w:t>
      </w:r>
      <w:r>
        <w:t>avoid analgesic-dose aspirin (it raises urate). Low-dose cardioprotective aspirin — review and continue if it is indicated.</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60"/>
        <w:gridCol w:w="9686"/>
      </w:tblGrid>
      <w:tr w:rsidR="00F77C0B" w14:paraId="47DF7890" w14:textId="77777777">
        <w:tblPrEx>
          <w:tblCellMar>
            <w:top w:w="0" w:type="dxa"/>
            <w:bottom w:w="0" w:type="dxa"/>
          </w:tblCellMar>
        </w:tblPrEx>
        <w:tc>
          <w:tcPr>
            <w:tcW w:w="60" w:type="dxa"/>
            <w:shd w:val="clear" w:color="auto" w:fill="C0530F"/>
            <w:tcMar>
              <w:top w:w="0" w:type="dxa"/>
              <w:left w:w="0" w:type="dxa"/>
              <w:bottom w:w="0" w:type="dxa"/>
              <w:right w:w="0" w:type="dxa"/>
            </w:tcMar>
          </w:tcPr>
          <w:p w14:paraId="7C4257B1" w14:textId="77777777" w:rsidR="00F77C0B" w:rsidRDefault="00F77C0B"/>
        </w:tc>
        <w:tc>
          <w:tcPr>
            <w:tcW w:w="9686" w:type="dxa"/>
            <w:shd w:val="clear" w:color="auto" w:fill="F4F6F8"/>
            <w:tcMar>
              <w:top w:w="70" w:type="dxa"/>
              <w:left w:w="150" w:type="dxa"/>
              <w:bottom w:w="70" w:type="dxa"/>
              <w:right w:w="120" w:type="dxa"/>
            </w:tcMar>
            <w:vAlign w:val="center"/>
          </w:tcPr>
          <w:p w14:paraId="182B155E" w14:textId="77777777" w:rsidR="00F77C0B" w:rsidRDefault="00000000">
            <w:pPr>
              <w:spacing w:line="252" w:lineRule="auto"/>
            </w:pPr>
            <w:r>
              <w:rPr>
                <w:b/>
                <w:bCs/>
                <w:color w:val="21303D"/>
                <w:sz w:val="27"/>
                <w:szCs w:val="27"/>
              </w:rPr>
              <w:t>Don't miss the bigger picture</w:t>
            </w:r>
          </w:p>
        </w:tc>
      </w:tr>
    </w:tbl>
    <w:p w14:paraId="6320F5BE" w14:textId="77777777" w:rsidR="00F77C0B" w:rsidRDefault="00000000">
      <w:pPr>
        <w:spacing w:after="60" w:line="264" w:lineRule="auto"/>
      </w:pPr>
      <w:r>
        <w:t xml:space="preserve">Gout travels with </w:t>
      </w:r>
      <w:r>
        <w:rPr>
          <w:b/>
          <w:bCs/>
        </w:rPr>
        <w:t>metabolic syndrome and chronic kidney disease</w:t>
      </w:r>
      <w:r>
        <w:t>. A gout diagnosis is your cue to screen for the conditions that quietly shorten lives: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
        <w:gridCol w:w="3161"/>
        <w:gridCol w:w="6525"/>
        <w:gridCol w:w="30"/>
      </w:tblGrid>
      <w:tr w:rsidR="00F77C0B" w14:paraId="267D35F6" w14:textId="77777777">
        <w:tblPrEx>
          <w:tblCellMar>
            <w:top w:w="0" w:type="dxa"/>
            <w:bottom w:w="0" w:type="dxa"/>
          </w:tblCellMar>
        </w:tblPrEx>
        <w:trPr>
          <w:gridAfter w:val="1"/>
          <w:wAfter w:w="30" w:type="dxa"/>
          <w:cantSplit/>
          <w:tblHeader/>
        </w:trPr>
        <w:tc>
          <w:tcPr>
            <w:tcW w:w="3200" w:type="dxa"/>
            <w:gridSpan w:val="2"/>
            <w:tcBorders>
              <w:top w:val="single" w:sz="4" w:space="0" w:color="C0530F"/>
              <w:left w:val="single" w:sz="4" w:space="0" w:color="C0530F"/>
              <w:bottom w:val="single" w:sz="4" w:space="0" w:color="C0530F"/>
              <w:right w:val="single" w:sz="4" w:space="0" w:color="C0530F"/>
            </w:tcBorders>
            <w:shd w:val="clear" w:color="auto" w:fill="C0530F"/>
            <w:tcMar>
              <w:top w:w="60" w:type="dxa"/>
              <w:left w:w="130" w:type="dxa"/>
              <w:bottom w:w="60" w:type="dxa"/>
              <w:right w:w="110" w:type="dxa"/>
            </w:tcMar>
            <w:vAlign w:val="center"/>
          </w:tcPr>
          <w:p w14:paraId="0280542B" w14:textId="77777777" w:rsidR="00F77C0B" w:rsidRDefault="00000000">
            <w:pPr>
              <w:spacing w:line="248" w:lineRule="auto"/>
            </w:pPr>
            <w:r>
              <w:rPr>
                <w:b/>
                <w:bCs/>
                <w:color w:val="FFFFFF"/>
                <w:sz w:val="20"/>
                <w:szCs w:val="20"/>
              </w:rPr>
              <w:t>Check</w:t>
            </w:r>
          </w:p>
        </w:tc>
        <w:tc>
          <w:tcPr>
            <w:tcW w:w="6546" w:type="dxa"/>
            <w:tcBorders>
              <w:top w:val="single" w:sz="4" w:space="0" w:color="C0530F"/>
              <w:left w:val="single" w:sz="4" w:space="0" w:color="C0530F"/>
              <w:bottom w:val="single" w:sz="4" w:space="0" w:color="C0530F"/>
              <w:right w:val="single" w:sz="4" w:space="0" w:color="C0530F"/>
            </w:tcBorders>
            <w:shd w:val="clear" w:color="auto" w:fill="C0530F"/>
            <w:tcMar>
              <w:top w:w="60" w:type="dxa"/>
              <w:left w:w="130" w:type="dxa"/>
              <w:bottom w:w="60" w:type="dxa"/>
              <w:right w:w="110" w:type="dxa"/>
            </w:tcMar>
            <w:vAlign w:val="center"/>
          </w:tcPr>
          <w:p w14:paraId="10299671" w14:textId="77777777" w:rsidR="00F77C0B" w:rsidRDefault="00000000">
            <w:pPr>
              <w:spacing w:line="248" w:lineRule="auto"/>
            </w:pPr>
            <w:r>
              <w:rPr>
                <w:b/>
                <w:bCs/>
                <w:color w:val="FFFFFF"/>
                <w:sz w:val="20"/>
                <w:szCs w:val="20"/>
              </w:rPr>
              <w:t>Why</w:t>
            </w:r>
          </w:p>
        </w:tc>
      </w:tr>
      <w:tr w:rsidR="00F77C0B" w14:paraId="68FFECA9" w14:textId="77777777">
        <w:tblPrEx>
          <w:tblCellMar>
            <w:top w:w="0" w:type="dxa"/>
            <w:bottom w:w="0" w:type="dxa"/>
          </w:tblCellMar>
        </w:tblPrEx>
        <w:trPr>
          <w:gridAfter w:val="1"/>
          <w:wAfter w:w="30" w:type="dxa"/>
          <w:cantSplit/>
        </w:trPr>
        <w:tc>
          <w:tcPr>
            <w:tcW w:w="3200"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C8BDEBB" w14:textId="77777777" w:rsidR="00F77C0B" w:rsidRDefault="00000000">
            <w:pPr>
              <w:spacing w:line="248" w:lineRule="auto"/>
            </w:pPr>
            <w:r>
              <w:rPr>
                <w:b/>
                <w:bCs/>
                <w:sz w:val="20"/>
                <w:szCs w:val="20"/>
              </w:rPr>
              <w:t>U&amp;E</w:t>
            </w:r>
          </w:p>
        </w:tc>
        <w:tc>
          <w:tcPr>
            <w:tcW w:w="65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CEC86E6" w14:textId="77777777" w:rsidR="00F77C0B" w:rsidRDefault="00000000">
            <w:pPr>
              <w:spacing w:line="248" w:lineRule="auto"/>
            </w:pPr>
            <w:r>
              <w:rPr>
                <w:sz w:val="20"/>
                <w:szCs w:val="20"/>
              </w:rPr>
              <w:t>Chronic kidney disease (common, and changes drug choice)</w:t>
            </w:r>
          </w:p>
        </w:tc>
      </w:tr>
      <w:tr w:rsidR="00F77C0B" w14:paraId="666CCDE1" w14:textId="77777777">
        <w:tblPrEx>
          <w:tblCellMar>
            <w:top w:w="0" w:type="dxa"/>
            <w:bottom w:w="0" w:type="dxa"/>
          </w:tblCellMar>
        </w:tblPrEx>
        <w:trPr>
          <w:gridAfter w:val="1"/>
          <w:wAfter w:w="30" w:type="dxa"/>
          <w:cantSplit/>
        </w:trPr>
        <w:tc>
          <w:tcPr>
            <w:tcW w:w="3200" w:type="dxa"/>
            <w:gridSpan w:val="2"/>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D26F7B2" w14:textId="77777777" w:rsidR="00F77C0B" w:rsidRDefault="00000000">
            <w:pPr>
              <w:spacing w:line="248" w:lineRule="auto"/>
            </w:pPr>
            <w:r>
              <w:rPr>
                <w:b/>
                <w:bCs/>
                <w:sz w:val="20"/>
                <w:szCs w:val="20"/>
              </w:rPr>
              <w:t>HbA1c</w:t>
            </w:r>
          </w:p>
        </w:tc>
        <w:tc>
          <w:tcPr>
            <w:tcW w:w="65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1AF93B83" w14:textId="77777777" w:rsidR="00F77C0B" w:rsidRDefault="00000000">
            <w:pPr>
              <w:spacing w:line="248" w:lineRule="auto"/>
            </w:pPr>
            <w:r>
              <w:rPr>
                <w:sz w:val="20"/>
                <w:szCs w:val="20"/>
              </w:rPr>
              <w:t>Diabetes</w:t>
            </w:r>
          </w:p>
        </w:tc>
      </w:tr>
      <w:tr w:rsidR="00F77C0B" w14:paraId="658A627E" w14:textId="77777777">
        <w:tblPrEx>
          <w:tblCellMar>
            <w:top w:w="0" w:type="dxa"/>
            <w:bottom w:w="0" w:type="dxa"/>
          </w:tblCellMar>
        </w:tblPrEx>
        <w:trPr>
          <w:gridAfter w:val="1"/>
          <w:wAfter w:w="30" w:type="dxa"/>
          <w:cantSplit/>
        </w:trPr>
        <w:tc>
          <w:tcPr>
            <w:tcW w:w="3200"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72320E7" w14:textId="77777777" w:rsidR="00F77C0B" w:rsidRDefault="00000000">
            <w:pPr>
              <w:spacing w:line="248" w:lineRule="auto"/>
            </w:pPr>
            <w:r>
              <w:rPr>
                <w:b/>
                <w:bCs/>
                <w:sz w:val="20"/>
                <w:szCs w:val="20"/>
              </w:rPr>
              <w:t>Fasting lipids + weight / waist</w:t>
            </w:r>
          </w:p>
        </w:tc>
        <w:tc>
          <w:tcPr>
            <w:tcW w:w="65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9B23AE7" w14:textId="77777777" w:rsidR="00F77C0B" w:rsidRDefault="00000000">
            <w:pPr>
              <w:spacing w:line="248" w:lineRule="auto"/>
            </w:pPr>
            <w:r>
              <w:rPr>
                <w:sz w:val="20"/>
                <w:szCs w:val="20"/>
              </w:rPr>
              <w:t>Dyslipidaemia and obesity</w:t>
            </w:r>
          </w:p>
        </w:tc>
      </w:tr>
      <w:tr w:rsidR="00F77C0B" w14:paraId="70335223" w14:textId="77777777">
        <w:tblPrEx>
          <w:tblCellMar>
            <w:top w:w="0" w:type="dxa"/>
            <w:bottom w:w="0" w:type="dxa"/>
          </w:tblCellMar>
        </w:tblPrEx>
        <w:trPr>
          <w:gridAfter w:val="1"/>
          <w:wAfter w:w="30" w:type="dxa"/>
          <w:cantSplit/>
        </w:trPr>
        <w:tc>
          <w:tcPr>
            <w:tcW w:w="3200" w:type="dxa"/>
            <w:gridSpan w:val="2"/>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8F16CEB" w14:textId="77777777" w:rsidR="00F77C0B" w:rsidRDefault="00000000">
            <w:pPr>
              <w:spacing w:line="248" w:lineRule="auto"/>
            </w:pPr>
            <w:r>
              <w:rPr>
                <w:b/>
                <w:bCs/>
                <w:sz w:val="20"/>
                <w:szCs w:val="20"/>
              </w:rPr>
              <w:t>Blood pressure</w:t>
            </w:r>
          </w:p>
        </w:tc>
        <w:tc>
          <w:tcPr>
            <w:tcW w:w="65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0EC317D" w14:textId="77777777" w:rsidR="00F77C0B" w:rsidRDefault="00000000">
            <w:pPr>
              <w:spacing w:line="248" w:lineRule="auto"/>
            </w:pPr>
            <w:r>
              <w:rPr>
                <w:sz w:val="20"/>
                <w:szCs w:val="20"/>
              </w:rPr>
              <w:t>Hypertension</w:t>
            </w:r>
          </w:p>
        </w:tc>
      </w:tr>
      <w:tr w:rsidR="00F77C0B" w14:paraId="619BAB33" w14:textId="77777777">
        <w:tblPrEx>
          <w:tblCellMar>
            <w:top w:w="0" w:type="dxa"/>
            <w:bottom w:w="0" w:type="dxa"/>
          </w:tblCellMar>
        </w:tblPrEx>
        <w:trPr>
          <w:gridAfter w:val="1"/>
          <w:wAfter w:w="30" w:type="dxa"/>
          <w:cantSplit/>
        </w:trPr>
        <w:tc>
          <w:tcPr>
            <w:tcW w:w="3200"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BE2FEB9" w14:textId="77777777" w:rsidR="00F77C0B" w:rsidRDefault="00000000">
            <w:pPr>
              <w:spacing w:line="248" w:lineRule="auto"/>
            </w:pPr>
            <w:r>
              <w:rPr>
                <w:b/>
                <w:bCs/>
                <w:sz w:val="20"/>
                <w:szCs w:val="20"/>
              </w:rPr>
              <w:t>FBC</w:t>
            </w:r>
          </w:p>
        </w:tc>
        <w:tc>
          <w:tcPr>
            <w:tcW w:w="65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4E5302B5" w14:textId="77777777" w:rsidR="00F77C0B" w:rsidRDefault="00000000">
            <w:pPr>
              <w:spacing w:line="248" w:lineRule="auto"/>
            </w:pPr>
            <w:r>
              <w:rPr>
                <w:sz w:val="20"/>
                <w:szCs w:val="20"/>
              </w:rPr>
              <w:t>Rarely, a myeloproliferative disorder</w:t>
            </w:r>
          </w:p>
        </w:tc>
      </w:tr>
      <w:tr w:rsidR="00F77C0B" w14:paraId="4AD700CA" w14:textId="77777777">
        <w:tblPrEx>
          <w:tblBorders>
            <w:top w:val="single" w:sz="2" w:space="0" w:color="E08600"/>
            <w:left w:val="single" w:sz="28" w:space="0" w:color="E08600"/>
            <w:bottom w:val="single" w:sz="2" w:space="0" w:color="E08600"/>
            <w:right w:val="single" w:sz="2" w:space="0" w:color="E08600"/>
          </w:tblBorders>
          <w:tblCellMar>
            <w:top w:w="0" w:type="dxa"/>
            <w:bottom w:w="0" w:type="dxa"/>
          </w:tblCellMar>
        </w:tblPrEx>
        <w:trPr>
          <w:gridBefore w:val="1"/>
          <w:wBefore w:w="30" w:type="dxa"/>
          <w:cantSplit/>
        </w:trPr>
        <w:tc>
          <w:tcPr>
            <w:tcW w:w="9746" w:type="dxa"/>
            <w:gridSpan w:val="3"/>
            <w:shd w:val="clear" w:color="auto" w:fill="FEF4E2"/>
            <w:tcMar>
              <w:top w:w="110" w:type="dxa"/>
              <w:left w:w="200" w:type="dxa"/>
              <w:bottom w:w="110" w:type="dxa"/>
              <w:right w:w="160" w:type="dxa"/>
            </w:tcMar>
          </w:tcPr>
          <w:p w14:paraId="2C03AE60" w14:textId="77777777" w:rsidR="00F77C0B" w:rsidRDefault="00000000">
            <w:pPr>
              <w:spacing w:after="70" w:line="248" w:lineRule="auto"/>
            </w:pPr>
            <w:proofErr w:type="gramStart"/>
            <w:r>
              <w:rPr>
                <w:b/>
                <w:bCs/>
                <w:color w:val="9A5B00"/>
              </w:rPr>
              <w:t>↑  What's</w:t>
            </w:r>
            <w:proofErr w:type="gramEnd"/>
            <w:r>
              <w:rPr>
                <w:b/>
                <w:bCs/>
                <w:color w:val="9A5B00"/>
              </w:rPr>
              <w:t xml:space="preserve"> changed from older teaching</w:t>
            </w:r>
          </w:p>
          <w:p w14:paraId="24457377" w14:textId="77777777" w:rsidR="00F77C0B" w:rsidRDefault="00000000">
            <w:pPr>
              <w:pStyle w:val="ListParagraph"/>
              <w:numPr>
                <w:ilvl w:val="0"/>
                <w:numId w:val="6"/>
              </w:numPr>
              <w:spacing w:after="50" w:line="248" w:lineRule="auto"/>
            </w:pPr>
            <w:r>
              <w:rPr>
                <w:b/>
                <w:bCs/>
              </w:rPr>
              <w:t>Treat-to-target is now the standard</w:t>
            </w:r>
            <w:r>
              <w:t xml:space="preserve"> — titrate ULT to a urate target, don't just “start allopurinol and forget”.</w:t>
            </w:r>
          </w:p>
          <w:p w14:paraId="176B66DD" w14:textId="77777777" w:rsidR="00F77C0B" w:rsidRDefault="00000000">
            <w:pPr>
              <w:pStyle w:val="ListParagraph"/>
              <w:numPr>
                <w:ilvl w:val="0"/>
                <w:numId w:val="6"/>
              </w:numPr>
              <w:spacing w:after="50" w:line="248" w:lineRule="auto"/>
            </w:pPr>
            <w:r>
              <w:rPr>
                <w:b/>
                <w:bCs/>
              </w:rPr>
              <w:t xml:space="preserve">Allopurinol and febuxostat are both </w:t>
            </w:r>
            <w:proofErr w:type="gramStart"/>
            <w:r>
              <w:rPr>
                <w:b/>
                <w:bCs/>
              </w:rPr>
              <w:t>first-line</w:t>
            </w:r>
            <w:proofErr w:type="gramEnd"/>
            <w:r>
              <w:t xml:space="preserve"> (allopurinol preferred in major CVD).</w:t>
            </w:r>
          </w:p>
          <w:p w14:paraId="0E55DC78" w14:textId="77777777" w:rsidR="00F77C0B" w:rsidRDefault="00000000">
            <w:pPr>
              <w:pStyle w:val="ListParagraph"/>
              <w:numPr>
                <w:ilvl w:val="0"/>
                <w:numId w:val="6"/>
              </w:numPr>
              <w:spacing w:after="50" w:line="248" w:lineRule="auto"/>
            </w:pPr>
            <w:r>
              <w:rPr>
                <w:b/>
                <w:bCs/>
              </w:rPr>
              <w:t>Flare treatment is a free choice of NSAID, colchicine or steroid</w:t>
            </w:r>
            <w:r>
              <w:t xml:space="preserve"> — not a fixed ladder.</w:t>
            </w:r>
          </w:p>
          <w:p w14:paraId="0EF79335" w14:textId="77777777" w:rsidR="00F77C0B" w:rsidRDefault="00000000">
            <w:pPr>
              <w:pStyle w:val="ListParagraph"/>
              <w:numPr>
                <w:ilvl w:val="0"/>
                <w:numId w:val="6"/>
              </w:numPr>
              <w:spacing w:line="248" w:lineRule="auto"/>
            </w:pPr>
            <w:r>
              <w:rPr>
                <w:b/>
                <w:bCs/>
              </w:rPr>
              <w:t>Offer to discuss ULT after the first flare</w:t>
            </w:r>
            <w:r>
              <w:t>, and proactively after two flares/year, tophi, CKD or diuretic use.</w:t>
            </w:r>
          </w:p>
        </w:tc>
      </w:tr>
      <w:tr w:rsidR="00F77C0B" w14:paraId="54C24B7E" w14:textId="77777777">
        <w:tblPrEx>
          <w:tblBorders>
            <w:top w:val="single" w:sz="2" w:space="0" w:color="7A4FA3"/>
            <w:left w:val="single" w:sz="28" w:space="0" w:color="7A4FA3"/>
            <w:bottom w:val="single" w:sz="2" w:space="0" w:color="7A4FA3"/>
            <w:right w:val="single" w:sz="2" w:space="0" w:color="7A4FA3"/>
          </w:tblBorders>
          <w:tblCellMar>
            <w:top w:w="0" w:type="dxa"/>
            <w:bottom w:w="0" w:type="dxa"/>
          </w:tblCellMar>
        </w:tblPrEx>
        <w:trPr>
          <w:gridBefore w:val="1"/>
          <w:wBefore w:w="30" w:type="dxa"/>
          <w:cantSplit/>
        </w:trPr>
        <w:tc>
          <w:tcPr>
            <w:tcW w:w="9746" w:type="dxa"/>
            <w:gridSpan w:val="3"/>
            <w:shd w:val="clear" w:color="auto" w:fill="F1EAF8"/>
            <w:tcMar>
              <w:top w:w="110" w:type="dxa"/>
              <w:left w:w="200" w:type="dxa"/>
              <w:bottom w:w="110" w:type="dxa"/>
              <w:right w:w="160" w:type="dxa"/>
            </w:tcMar>
          </w:tcPr>
          <w:p w14:paraId="3546297D" w14:textId="77777777" w:rsidR="00F77C0B" w:rsidRDefault="00000000">
            <w:pPr>
              <w:spacing w:after="70" w:line="248" w:lineRule="auto"/>
            </w:pPr>
            <w:proofErr w:type="gramStart"/>
            <w:r>
              <w:rPr>
                <w:b/>
                <w:bCs/>
                <w:color w:val="5E3A82"/>
              </w:rPr>
              <w:t>■  Disclaimer</w:t>
            </w:r>
            <w:proofErr w:type="gramEnd"/>
            <w:r>
              <w:rPr>
                <w:b/>
                <w:bCs/>
                <w:color w:val="5E3A82"/>
              </w:rPr>
              <w:t xml:space="preserve"> &amp; verification</w:t>
            </w:r>
          </w:p>
          <w:p w14:paraId="5FB26DA9" w14:textId="77777777" w:rsidR="00F77C0B" w:rsidRDefault="00000000">
            <w:pPr>
              <w:spacing w:after="60" w:line="252" w:lineRule="auto"/>
            </w:pPr>
            <w:r>
              <w:rPr>
                <w:b/>
                <w:bCs/>
                <w:color w:val="5E3A82"/>
              </w:rPr>
              <w:t xml:space="preserve">Key sources used for this update: </w:t>
            </w:r>
            <w:r>
              <w:t>NICE NG219 Gout (2022); NICE CKS Gout; BNF (colchicine, allopurinol, febuxostat); MHRA Drug Safety Update on febuxostat.</w:t>
            </w:r>
          </w:p>
          <w:p w14:paraId="5B25D0A6" w14:textId="77777777" w:rsidR="00F77C0B" w:rsidRDefault="00000000">
            <w:pPr>
              <w:spacing w:line="252" w:lineRule="auto"/>
            </w:pPr>
            <w:r>
              <w:t>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(e.g. NICE, NICE CKS, BNF), local policies and the relevant regulatory bodies before applying anything in practice.</w:t>
            </w:r>
          </w:p>
        </w:tc>
      </w:tr>
    </w:tbl>
    <w:p w14:paraId="3CD6FCC9" w14:textId="77777777" w:rsidR="006B47F9" w:rsidRDefault="006B47F9"/>
    <w:sectPr w:rsidR="006B47F9">
      <w:footerReference w:type="default" r:id="rId7"/>
      <w:pgSz w:w="11906" w:h="16838"/>
      <w:pgMar w:top="1134" w:right="1080" w:bottom="1191" w:left="1080" w:header="680" w:footer="5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F6B65" w14:textId="77777777" w:rsidR="006B47F9" w:rsidRDefault="006B47F9">
      <w:r>
        <w:separator/>
      </w:r>
    </w:p>
  </w:endnote>
  <w:endnote w:type="continuationSeparator" w:id="0">
    <w:p w14:paraId="3F37036E" w14:textId="77777777" w:rsidR="006B47F9" w:rsidRDefault="006B47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4D1E3" w14:textId="77777777" w:rsidR="00F77C0B" w:rsidRDefault="00F77C0B">
    <w:pPr>
      <w:pBdr>
        <w:top w:val="single" w:sz="8" w:space="4" w:color="E2661A"/>
      </w:pBdr>
      <w:spacing w:before="40" w:after="20"/>
    </w:pPr>
  </w:p>
  <w:p w14:paraId="3104E7DA" w14:textId="77777777" w:rsidR="00F77C0B" w:rsidRDefault="00000000">
    <w:pPr>
      <w:tabs>
        <w:tab w:val="right" w:pos="9746"/>
      </w:tabs>
      <w:spacing w:line="224" w:lineRule="auto"/>
    </w:pPr>
    <w:r>
      <w:rPr>
        <w:i/>
        <w:iCs/>
        <w:color w:val="5A636E"/>
        <w:sz w:val="14"/>
        <w:szCs w:val="14"/>
      </w:rPr>
      <w:t>Gout — Bradford VTS Teaching Aid</w:t>
    </w:r>
    <w:r>
      <w:rPr>
        <w:sz w:val="14"/>
        <w:szCs w:val="14"/>
      </w:rPr>
      <w:tab/>
    </w:r>
    <w:r>
      <w:rPr>
        <w:color w:val="5A636E"/>
        <w:sz w:val="14"/>
        <w:szCs w:val="14"/>
      </w:rPr>
      <w:t xml:space="preserve">bradfordvts.co.uk   ·   Page </w:t>
    </w:r>
    <w:r>
      <w:rPr>
        <w:b/>
        <w:bCs/>
        <w:color w:val="5A636E"/>
        <w:sz w:val="14"/>
        <w:szCs w:val="14"/>
      </w:rPr>
      <w:fldChar w:fldCharType="begin"/>
    </w:r>
    <w:r>
      <w:rPr>
        <w:b/>
        <w:bCs/>
        <w:color w:val="5A636E"/>
        <w:sz w:val="14"/>
        <w:szCs w:val="14"/>
      </w:rPr>
      <w:instrText>PAGE</w:instrText>
    </w:r>
    <w:r>
      <w:rPr>
        <w:b/>
        <w:bCs/>
        <w:color w:val="5A636E"/>
        <w:sz w:val="14"/>
        <w:szCs w:val="14"/>
      </w:rPr>
      <w:fldChar w:fldCharType="separate"/>
    </w:r>
    <w:r w:rsidR="00F87AF0">
      <w:rPr>
        <w:b/>
        <w:bCs/>
        <w:noProof/>
        <w:color w:val="5A636E"/>
        <w:sz w:val="14"/>
        <w:szCs w:val="14"/>
      </w:rPr>
      <w:t>1</w:t>
    </w:r>
    <w:r>
      <w:rPr>
        <w:b/>
        <w:bCs/>
        <w:color w:val="5A636E"/>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750ECE" w14:textId="77777777" w:rsidR="006B47F9" w:rsidRDefault="006B47F9">
      <w:r>
        <w:separator/>
      </w:r>
    </w:p>
  </w:footnote>
  <w:footnote w:type="continuationSeparator" w:id="0">
    <w:p w14:paraId="0245C120" w14:textId="77777777" w:rsidR="006B47F9" w:rsidRDefault="006B47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0F294C"/>
    <w:multiLevelType w:val="hybridMultilevel"/>
    <w:tmpl w:val="2334F1E0"/>
    <w:lvl w:ilvl="0" w:tplc="BE52F5B2">
      <w:start w:val="1"/>
      <w:numFmt w:val="decimal"/>
      <w:lvlText w:val="%1"/>
      <w:lvlJc w:val="center"/>
      <w:pPr>
        <w:ind w:left="380" w:hanging="250"/>
      </w:pPr>
      <w:rPr>
        <w:b/>
        <w:bCs/>
        <w:color w:val="FFFFFF"/>
      </w:rPr>
    </w:lvl>
    <w:lvl w:ilvl="1" w:tplc="5BB4870C">
      <w:numFmt w:val="decimal"/>
      <w:lvlText w:val=""/>
      <w:lvlJc w:val="left"/>
    </w:lvl>
    <w:lvl w:ilvl="2" w:tplc="50A0A2AE">
      <w:numFmt w:val="decimal"/>
      <w:lvlText w:val=""/>
      <w:lvlJc w:val="left"/>
    </w:lvl>
    <w:lvl w:ilvl="3" w:tplc="7ADE11D0">
      <w:numFmt w:val="decimal"/>
      <w:lvlText w:val=""/>
      <w:lvlJc w:val="left"/>
    </w:lvl>
    <w:lvl w:ilvl="4" w:tplc="C4B8778C">
      <w:numFmt w:val="decimal"/>
      <w:lvlText w:val=""/>
      <w:lvlJc w:val="left"/>
    </w:lvl>
    <w:lvl w:ilvl="5" w:tplc="D116BF24">
      <w:numFmt w:val="decimal"/>
      <w:lvlText w:val=""/>
      <w:lvlJc w:val="left"/>
    </w:lvl>
    <w:lvl w:ilvl="6" w:tplc="43825572">
      <w:numFmt w:val="decimal"/>
      <w:lvlText w:val=""/>
      <w:lvlJc w:val="left"/>
    </w:lvl>
    <w:lvl w:ilvl="7" w:tplc="54744F3A">
      <w:numFmt w:val="decimal"/>
      <w:lvlText w:val=""/>
      <w:lvlJc w:val="left"/>
    </w:lvl>
    <w:lvl w:ilvl="8" w:tplc="EAF07834">
      <w:numFmt w:val="decimal"/>
      <w:lvlText w:val=""/>
      <w:lvlJc w:val="left"/>
    </w:lvl>
  </w:abstractNum>
  <w:abstractNum w:abstractNumId="1" w15:restartNumberingAfterBreak="0">
    <w:nsid w:val="20C86195"/>
    <w:multiLevelType w:val="hybridMultilevel"/>
    <w:tmpl w:val="F5AA129A"/>
    <w:lvl w:ilvl="0" w:tplc="FB324762">
      <w:start w:val="1"/>
      <w:numFmt w:val="bullet"/>
      <w:lvlText w:val="●"/>
      <w:lvlJc w:val="left"/>
      <w:pPr>
        <w:ind w:left="720" w:hanging="360"/>
      </w:pPr>
    </w:lvl>
    <w:lvl w:ilvl="1" w:tplc="CF3EFA4E">
      <w:start w:val="1"/>
      <w:numFmt w:val="bullet"/>
      <w:lvlText w:val="○"/>
      <w:lvlJc w:val="left"/>
      <w:pPr>
        <w:ind w:left="1440" w:hanging="360"/>
      </w:pPr>
    </w:lvl>
    <w:lvl w:ilvl="2" w:tplc="33BAE08A">
      <w:start w:val="1"/>
      <w:numFmt w:val="bullet"/>
      <w:lvlText w:val="■"/>
      <w:lvlJc w:val="left"/>
      <w:pPr>
        <w:ind w:left="2160" w:hanging="360"/>
      </w:pPr>
    </w:lvl>
    <w:lvl w:ilvl="3" w:tplc="AFF603EC">
      <w:start w:val="1"/>
      <w:numFmt w:val="bullet"/>
      <w:lvlText w:val="●"/>
      <w:lvlJc w:val="left"/>
      <w:pPr>
        <w:ind w:left="2880" w:hanging="360"/>
      </w:pPr>
    </w:lvl>
    <w:lvl w:ilvl="4" w:tplc="B546E94A">
      <w:start w:val="1"/>
      <w:numFmt w:val="bullet"/>
      <w:lvlText w:val="○"/>
      <w:lvlJc w:val="left"/>
      <w:pPr>
        <w:ind w:left="3600" w:hanging="360"/>
      </w:pPr>
    </w:lvl>
    <w:lvl w:ilvl="5" w:tplc="4CA01252">
      <w:start w:val="1"/>
      <w:numFmt w:val="bullet"/>
      <w:lvlText w:val="■"/>
      <w:lvlJc w:val="left"/>
      <w:pPr>
        <w:ind w:left="4320" w:hanging="360"/>
      </w:pPr>
    </w:lvl>
    <w:lvl w:ilvl="6" w:tplc="33362586">
      <w:start w:val="1"/>
      <w:numFmt w:val="bullet"/>
      <w:lvlText w:val="●"/>
      <w:lvlJc w:val="left"/>
      <w:pPr>
        <w:ind w:left="5040" w:hanging="360"/>
      </w:pPr>
    </w:lvl>
    <w:lvl w:ilvl="7" w:tplc="EC2CEE2A">
      <w:start w:val="1"/>
      <w:numFmt w:val="bullet"/>
      <w:lvlText w:val="●"/>
      <w:lvlJc w:val="left"/>
      <w:pPr>
        <w:ind w:left="5760" w:hanging="360"/>
      </w:pPr>
    </w:lvl>
    <w:lvl w:ilvl="8" w:tplc="8AC4F474">
      <w:start w:val="1"/>
      <w:numFmt w:val="bullet"/>
      <w:lvlText w:val="●"/>
      <w:lvlJc w:val="left"/>
      <w:pPr>
        <w:ind w:left="6480" w:hanging="360"/>
      </w:pPr>
    </w:lvl>
  </w:abstractNum>
  <w:abstractNum w:abstractNumId="2" w15:restartNumberingAfterBreak="0">
    <w:nsid w:val="27B463D6"/>
    <w:multiLevelType w:val="hybridMultilevel"/>
    <w:tmpl w:val="CAFA7352"/>
    <w:lvl w:ilvl="0" w:tplc="8F02AD6C">
      <w:start w:val="1"/>
      <w:numFmt w:val="bullet"/>
      <w:lvlText w:val="•"/>
      <w:lvlJc w:val="left"/>
      <w:pPr>
        <w:ind w:left="360" w:hanging="220"/>
      </w:pPr>
      <w:rPr>
        <w:color w:val="E2661A"/>
      </w:rPr>
    </w:lvl>
    <w:lvl w:ilvl="1" w:tplc="7D942D56">
      <w:start w:val="1"/>
      <w:numFmt w:val="bullet"/>
      <w:lvlText w:val="–"/>
      <w:lvlJc w:val="left"/>
      <w:pPr>
        <w:ind w:left="720" w:hanging="220"/>
      </w:pPr>
      <w:rPr>
        <w:color w:val="5A636E"/>
      </w:rPr>
    </w:lvl>
    <w:lvl w:ilvl="2" w:tplc="8FECEEF4">
      <w:numFmt w:val="decimal"/>
      <w:lvlText w:val=""/>
      <w:lvlJc w:val="left"/>
    </w:lvl>
    <w:lvl w:ilvl="3" w:tplc="9EBC0738">
      <w:numFmt w:val="decimal"/>
      <w:lvlText w:val=""/>
      <w:lvlJc w:val="left"/>
    </w:lvl>
    <w:lvl w:ilvl="4" w:tplc="45507760">
      <w:numFmt w:val="decimal"/>
      <w:lvlText w:val=""/>
      <w:lvlJc w:val="left"/>
    </w:lvl>
    <w:lvl w:ilvl="5" w:tplc="33F0F206">
      <w:numFmt w:val="decimal"/>
      <w:lvlText w:val=""/>
      <w:lvlJc w:val="left"/>
    </w:lvl>
    <w:lvl w:ilvl="6" w:tplc="88965B12">
      <w:numFmt w:val="decimal"/>
      <w:lvlText w:val=""/>
      <w:lvlJc w:val="left"/>
    </w:lvl>
    <w:lvl w:ilvl="7" w:tplc="3A289CBC">
      <w:numFmt w:val="decimal"/>
      <w:lvlText w:val=""/>
      <w:lvlJc w:val="left"/>
    </w:lvl>
    <w:lvl w:ilvl="8" w:tplc="4252A048">
      <w:numFmt w:val="decimal"/>
      <w:lvlText w:val=""/>
      <w:lvlJc w:val="left"/>
    </w:lvl>
  </w:abstractNum>
  <w:abstractNum w:abstractNumId="3" w15:restartNumberingAfterBreak="0">
    <w:nsid w:val="2F5633C3"/>
    <w:multiLevelType w:val="hybridMultilevel"/>
    <w:tmpl w:val="DA105352"/>
    <w:lvl w:ilvl="0" w:tplc="C0F02B1C">
      <w:start w:val="1"/>
      <w:numFmt w:val="bullet"/>
      <w:lvlText w:val="•"/>
      <w:lvlJc w:val="left"/>
      <w:pPr>
        <w:ind w:left="320" w:hanging="210"/>
      </w:pPr>
      <w:rPr>
        <w:color w:val="D34747"/>
      </w:rPr>
    </w:lvl>
    <w:lvl w:ilvl="1" w:tplc="4118C2FA">
      <w:numFmt w:val="decimal"/>
      <w:lvlText w:val=""/>
      <w:lvlJc w:val="left"/>
    </w:lvl>
    <w:lvl w:ilvl="2" w:tplc="8B7A722E">
      <w:numFmt w:val="decimal"/>
      <w:lvlText w:val=""/>
      <w:lvlJc w:val="left"/>
    </w:lvl>
    <w:lvl w:ilvl="3" w:tplc="E0E8DA32">
      <w:numFmt w:val="decimal"/>
      <w:lvlText w:val=""/>
      <w:lvlJc w:val="left"/>
    </w:lvl>
    <w:lvl w:ilvl="4" w:tplc="2F843BC2">
      <w:numFmt w:val="decimal"/>
      <w:lvlText w:val=""/>
      <w:lvlJc w:val="left"/>
    </w:lvl>
    <w:lvl w:ilvl="5" w:tplc="EED63700">
      <w:numFmt w:val="decimal"/>
      <w:lvlText w:val=""/>
      <w:lvlJc w:val="left"/>
    </w:lvl>
    <w:lvl w:ilvl="6" w:tplc="8174DA84">
      <w:numFmt w:val="decimal"/>
      <w:lvlText w:val=""/>
      <w:lvlJc w:val="left"/>
    </w:lvl>
    <w:lvl w:ilvl="7" w:tplc="8DDCA46C">
      <w:numFmt w:val="decimal"/>
      <w:lvlText w:val=""/>
      <w:lvlJc w:val="left"/>
    </w:lvl>
    <w:lvl w:ilvl="8" w:tplc="2F820178">
      <w:numFmt w:val="decimal"/>
      <w:lvlText w:val=""/>
      <w:lvlJc w:val="left"/>
    </w:lvl>
  </w:abstractNum>
  <w:abstractNum w:abstractNumId="4" w15:restartNumberingAfterBreak="0">
    <w:nsid w:val="399845BD"/>
    <w:multiLevelType w:val="hybridMultilevel"/>
    <w:tmpl w:val="27F2F8B4"/>
    <w:lvl w:ilvl="0" w:tplc="9EC467AE">
      <w:start w:val="1"/>
      <w:numFmt w:val="decimal"/>
      <w:lvlText w:val="%1."/>
      <w:lvlJc w:val="left"/>
      <w:pPr>
        <w:ind w:left="380" w:hanging="250"/>
      </w:pPr>
      <w:rPr>
        <w:b/>
        <w:bCs/>
        <w:color w:val="C0530F"/>
      </w:rPr>
    </w:lvl>
    <w:lvl w:ilvl="1" w:tplc="F418DFD4">
      <w:numFmt w:val="decimal"/>
      <w:lvlText w:val=""/>
      <w:lvlJc w:val="left"/>
    </w:lvl>
    <w:lvl w:ilvl="2" w:tplc="4B9640BE">
      <w:numFmt w:val="decimal"/>
      <w:lvlText w:val=""/>
      <w:lvlJc w:val="left"/>
    </w:lvl>
    <w:lvl w:ilvl="3" w:tplc="07882E0C">
      <w:numFmt w:val="decimal"/>
      <w:lvlText w:val=""/>
      <w:lvlJc w:val="left"/>
    </w:lvl>
    <w:lvl w:ilvl="4" w:tplc="02CA53D6">
      <w:numFmt w:val="decimal"/>
      <w:lvlText w:val=""/>
      <w:lvlJc w:val="left"/>
    </w:lvl>
    <w:lvl w:ilvl="5" w:tplc="C9CAF950">
      <w:numFmt w:val="decimal"/>
      <w:lvlText w:val=""/>
      <w:lvlJc w:val="left"/>
    </w:lvl>
    <w:lvl w:ilvl="6" w:tplc="2EA85EAC">
      <w:numFmt w:val="decimal"/>
      <w:lvlText w:val=""/>
      <w:lvlJc w:val="left"/>
    </w:lvl>
    <w:lvl w:ilvl="7" w:tplc="425C1198">
      <w:numFmt w:val="decimal"/>
      <w:lvlText w:val=""/>
      <w:lvlJc w:val="left"/>
    </w:lvl>
    <w:lvl w:ilvl="8" w:tplc="564E776C">
      <w:numFmt w:val="decimal"/>
      <w:lvlText w:val=""/>
      <w:lvlJc w:val="left"/>
    </w:lvl>
  </w:abstractNum>
  <w:abstractNum w:abstractNumId="5" w15:restartNumberingAfterBreak="0">
    <w:nsid w:val="482C77EE"/>
    <w:multiLevelType w:val="hybridMultilevel"/>
    <w:tmpl w:val="79F88B42"/>
    <w:lvl w:ilvl="0" w:tplc="DD409820">
      <w:start w:val="1"/>
      <w:numFmt w:val="bullet"/>
      <w:lvlText w:val="•"/>
      <w:lvlJc w:val="left"/>
      <w:pPr>
        <w:ind w:left="320" w:hanging="210"/>
      </w:pPr>
      <w:rPr>
        <w:color w:val="1F9E94"/>
      </w:rPr>
    </w:lvl>
    <w:lvl w:ilvl="1" w:tplc="75D27C56">
      <w:numFmt w:val="decimal"/>
      <w:lvlText w:val=""/>
      <w:lvlJc w:val="left"/>
    </w:lvl>
    <w:lvl w:ilvl="2" w:tplc="87381550">
      <w:numFmt w:val="decimal"/>
      <w:lvlText w:val=""/>
      <w:lvlJc w:val="left"/>
    </w:lvl>
    <w:lvl w:ilvl="3" w:tplc="ED3E17F4">
      <w:numFmt w:val="decimal"/>
      <w:lvlText w:val=""/>
      <w:lvlJc w:val="left"/>
    </w:lvl>
    <w:lvl w:ilvl="4" w:tplc="4DEE31C0">
      <w:numFmt w:val="decimal"/>
      <w:lvlText w:val=""/>
      <w:lvlJc w:val="left"/>
    </w:lvl>
    <w:lvl w:ilvl="5" w:tplc="E77E76F8">
      <w:numFmt w:val="decimal"/>
      <w:lvlText w:val=""/>
      <w:lvlJc w:val="left"/>
    </w:lvl>
    <w:lvl w:ilvl="6" w:tplc="A9689382">
      <w:numFmt w:val="decimal"/>
      <w:lvlText w:val=""/>
      <w:lvlJc w:val="left"/>
    </w:lvl>
    <w:lvl w:ilvl="7" w:tplc="69AEB6A4">
      <w:numFmt w:val="decimal"/>
      <w:lvlText w:val=""/>
      <w:lvlJc w:val="left"/>
    </w:lvl>
    <w:lvl w:ilvl="8" w:tplc="56A68C2A">
      <w:numFmt w:val="decimal"/>
      <w:lvlText w:val=""/>
      <w:lvlJc w:val="left"/>
    </w:lvl>
  </w:abstractNum>
  <w:abstractNum w:abstractNumId="6" w15:restartNumberingAfterBreak="0">
    <w:nsid w:val="56636795"/>
    <w:multiLevelType w:val="hybridMultilevel"/>
    <w:tmpl w:val="07E64990"/>
    <w:lvl w:ilvl="0" w:tplc="9592A024">
      <w:start w:val="1"/>
      <w:numFmt w:val="bullet"/>
      <w:lvlText w:val="•"/>
      <w:lvlJc w:val="left"/>
      <w:pPr>
        <w:ind w:left="320" w:hanging="210"/>
      </w:pPr>
      <w:rPr>
        <w:color w:val="E08600"/>
      </w:rPr>
    </w:lvl>
    <w:lvl w:ilvl="1" w:tplc="219E2BF8">
      <w:numFmt w:val="decimal"/>
      <w:lvlText w:val=""/>
      <w:lvlJc w:val="left"/>
    </w:lvl>
    <w:lvl w:ilvl="2" w:tplc="455A00C6">
      <w:numFmt w:val="decimal"/>
      <w:lvlText w:val=""/>
      <w:lvlJc w:val="left"/>
    </w:lvl>
    <w:lvl w:ilvl="3" w:tplc="1FA67C90">
      <w:numFmt w:val="decimal"/>
      <w:lvlText w:val=""/>
      <w:lvlJc w:val="left"/>
    </w:lvl>
    <w:lvl w:ilvl="4" w:tplc="080AE682">
      <w:numFmt w:val="decimal"/>
      <w:lvlText w:val=""/>
      <w:lvlJc w:val="left"/>
    </w:lvl>
    <w:lvl w:ilvl="5" w:tplc="9E0EF548">
      <w:numFmt w:val="decimal"/>
      <w:lvlText w:val=""/>
      <w:lvlJc w:val="left"/>
    </w:lvl>
    <w:lvl w:ilvl="6" w:tplc="55E6E65A">
      <w:numFmt w:val="decimal"/>
      <w:lvlText w:val=""/>
      <w:lvlJc w:val="left"/>
    </w:lvl>
    <w:lvl w:ilvl="7" w:tplc="A7027BC6">
      <w:numFmt w:val="decimal"/>
      <w:lvlText w:val=""/>
      <w:lvlJc w:val="left"/>
    </w:lvl>
    <w:lvl w:ilvl="8" w:tplc="F3DAA5B0">
      <w:numFmt w:val="decimal"/>
      <w:lvlText w:val=""/>
      <w:lvlJc w:val="left"/>
    </w:lvl>
  </w:abstractNum>
  <w:abstractNum w:abstractNumId="7" w15:restartNumberingAfterBreak="0">
    <w:nsid w:val="6A033151"/>
    <w:multiLevelType w:val="hybridMultilevel"/>
    <w:tmpl w:val="57F6CCF0"/>
    <w:lvl w:ilvl="0" w:tplc="A31272FC">
      <w:start w:val="1"/>
      <w:numFmt w:val="bullet"/>
      <w:lvlText w:val="•"/>
      <w:lvlJc w:val="left"/>
      <w:pPr>
        <w:ind w:left="320" w:hanging="210"/>
      </w:pPr>
      <w:rPr>
        <w:color w:val="2E75B6"/>
      </w:rPr>
    </w:lvl>
    <w:lvl w:ilvl="1" w:tplc="91A872B2">
      <w:numFmt w:val="decimal"/>
      <w:lvlText w:val=""/>
      <w:lvlJc w:val="left"/>
    </w:lvl>
    <w:lvl w:ilvl="2" w:tplc="8700B5C6">
      <w:numFmt w:val="decimal"/>
      <w:lvlText w:val=""/>
      <w:lvlJc w:val="left"/>
    </w:lvl>
    <w:lvl w:ilvl="3" w:tplc="E98AE080">
      <w:numFmt w:val="decimal"/>
      <w:lvlText w:val=""/>
      <w:lvlJc w:val="left"/>
    </w:lvl>
    <w:lvl w:ilvl="4" w:tplc="4E128D7A">
      <w:numFmt w:val="decimal"/>
      <w:lvlText w:val=""/>
      <w:lvlJc w:val="left"/>
    </w:lvl>
    <w:lvl w:ilvl="5" w:tplc="157A6A78">
      <w:numFmt w:val="decimal"/>
      <w:lvlText w:val=""/>
      <w:lvlJc w:val="left"/>
    </w:lvl>
    <w:lvl w:ilvl="6" w:tplc="F072F51E">
      <w:numFmt w:val="decimal"/>
      <w:lvlText w:val=""/>
      <w:lvlJc w:val="left"/>
    </w:lvl>
    <w:lvl w:ilvl="7" w:tplc="22604426">
      <w:numFmt w:val="decimal"/>
      <w:lvlText w:val=""/>
      <w:lvlJc w:val="left"/>
    </w:lvl>
    <w:lvl w:ilvl="8" w:tplc="B164CF12">
      <w:numFmt w:val="decimal"/>
      <w:lvlText w:val=""/>
      <w:lvlJc w:val="left"/>
    </w:lvl>
  </w:abstractNum>
  <w:abstractNum w:abstractNumId="8" w15:restartNumberingAfterBreak="0">
    <w:nsid w:val="71367DA1"/>
    <w:multiLevelType w:val="hybridMultilevel"/>
    <w:tmpl w:val="D8E2E3B0"/>
    <w:lvl w:ilvl="0" w:tplc="6CE06444">
      <w:start w:val="1"/>
      <w:numFmt w:val="bullet"/>
      <w:lvlText w:val="•"/>
      <w:lvlJc w:val="left"/>
      <w:pPr>
        <w:ind w:left="320" w:hanging="210"/>
      </w:pPr>
      <w:rPr>
        <w:color w:val="2EA057"/>
      </w:rPr>
    </w:lvl>
    <w:lvl w:ilvl="1" w:tplc="ECC281DC">
      <w:numFmt w:val="decimal"/>
      <w:lvlText w:val=""/>
      <w:lvlJc w:val="left"/>
    </w:lvl>
    <w:lvl w:ilvl="2" w:tplc="507C3A40">
      <w:numFmt w:val="decimal"/>
      <w:lvlText w:val=""/>
      <w:lvlJc w:val="left"/>
    </w:lvl>
    <w:lvl w:ilvl="3" w:tplc="FDF6835A">
      <w:numFmt w:val="decimal"/>
      <w:lvlText w:val=""/>
      <w:lvlJc w:val="left"/>
    </w:lvl>
    <w:lvl w:ilvl="4" w:tplc="7A0A6ED6">
      <w:numFmt w:val="decimal"/>
      <w:lvlText w:val=""/>
      <w:lvlJc w:val="left"/>
    </w:lvl>
    <w:lvl w:ilvl="5" w:tplc="9F74AE3C">
      <w:numFmt w:val="decimal"/>
      <w:lvlText w:val=""/>
      <w:lvlJc w:val="left"/>
    </w:lvl>
    <w:lvl w:ilvl="6" w:tplc="AFBC4F0C">
      <w:numFmt w:val="decimal"/>
      <w:lvlText w:val=""/>
      <w:lvlJc w:val="left"/>
    </w:lvl>
    <w:lvl w:ilvl="7" w:tplc="D5FCB776">
      <w:numFmt w:val="decimal"/>
      <w:lvlText w:val=""/>
      <w:lvlJc w:val="left"/>
    </w:lvl>
    <w:lvl w:ilvl="8" w:tplc="CFB26DFE">
      <w:numFmt w:val="decimal"/>
      <w:lvlText w:val=""/>
      <w:lvlJc w:val="left"/>
    </w:lvl>
  </w:abstractNum>
  <w:abstractNum w:abstractNumId="9" w15:restartNumberingAfterBreak="0">
    <w:nsid w:val="79463761"/>
    <w:multiLevelType w:val="hybridMultilevel"/>
    <w:tmpl w:val="6232942E"/>
    <w:lvl w:ilvl="0" w:tplc="3CF8874E">
      <w:start w:val="1"/>
      <w:numFmt w:val="decimal"/>
      <w:lvlText w:val="%1."/>
      <w:lvlJc w:val="left"/>
      <w:pPr>
        <w:ind w:left="380" w:hanging="250"/>
      </w:pPr>
      <w:rPr>
        <w:b/>
        <w:bCs/>
        <w:color w:val="C0530F"/>
      </w:rPr>
    </w:lvl>
    <w:lvl w:ilvl="1" w:tplc="20D4B710">
      <w:numFmt w:val="decimal"/>
      <w:lvlText w:val=""/>
      <w:lvlJc w:val="left"/>
    </w:lvl>
    <w:lvl w:ilvl="2" w:tplc="9164339E">
      <w:numFmt w:val="decimal"/>
      <w:lvlText w:val=""/>
      <w:lvlJc w:val="left"/>
    </w:lvl>
    <w:lvl w:ilvl="3" w:tplc="93F48C14">
      <w:numFmt w:val="decimal"/>
      <w:lvlText w:val=""/>
      <w:lvlJc w:val="left"/>
    </w:lvl>
    <w:lvl w:ilvl="4" w:tplc="79AACB12">
      <w:numFmt w:val="decimal"/>
      <w:lvlText w:val=""/>
      <w:lvlJc w:val="left"/>
    </w:lvl>
    <w:lvl w:ilvl="5" w:tplc="1816694A">
      <w:numFmt w:val="decimal"/>
      <w:lvlText w:val=""/>
      <w:lvlJc w:val="left"/>
    </w:lvl>
    <w:lvl w:ilvl="6" w:tplc="AF64419C">
      <w:numFmt w:val="decimal"/>
      <w:lvlText w:val=""/>
      <w:lvlJc w:val="left"/>
    </w:lvl>
    <w:lvl w:ilvl="7" w:tplc="6D048F42">
      <w:numFmt w:val="decimal"/>
      <w:lvlText w:val=""/>
      <w:lvlJc w:val="left"/>
    </w:lvl>
    <w:lvl w:ilvl="8" w:tplc="76843EA4">
      <w:numFmt w:val="decimal"/>
      <w:lvlText w:val=""/>
      <w:lvlJc w:val="left"/>
    </w:lvl>
  </w:abstractNum>
  <w:abstractNum w:abstractNumId="10" w15:restartNumberingAfterBreak="0">
    <w:nsid w:val="7C47033E"/>
    <w:multiLevelType w:val="hybridMultilevel"/>
    <w:tmpl w:val="37982198"/>
    <w:lvl w:ilvl="0" w:tplc="24CE5DC6">
      <w:start w:val="1"/>
      <w:numFmt w:val="bullet"/>
      <w:lvlText w:val="•"/>
      <w:lvlJc w:val="left"/>
      <w:pPr>
        <w:ind w:left="320" w:hanging="210"/>
      </w:pPr>
      <w:rPr>
        <w:color w:val="7A4FA3"/>
      </w:rPr>
    </w:lvl>
    <w:lvl w:ilvl="1" w:tplc="D80A7626">
      <w:numFmt w:val="decimal"/>
      <w:lvlText w:val=""/>
      <w:lvlJc w:val="left"/>
    </w:lvl>
    <w:lvl w:ilvl="2" w:tplc="314A62A0">
      <w:numFmt w:val="decimal"/>
      <w:lvlText w:val=""/>
      <w:lvlJc w:val="left"/>
    </w:lvl>
    <w:lvl w:ilvl="3" w:tplc="FDDC7898">
      <w:numFmt w:val="decimal"/>
      <w:lvlText w:val=""/>
      <w:lvlJc w:val="left"/>
    </w:lvl>
    <w:lvl w:ilvl="4" w:tplc="C0A64DE6">
      <w:numFmt w:val="decimal"/>
      <w:lvlText w:val=""/>
      <w:lvlJc w:val="left"/>
    </w:lvl>
    <w:lvl w:ilvl="5" w:tplc="D1369568">
      <w:numFmt w:val="decimal"/>
      <w:lvlText w:val=""/>
      <w:lvlJc w:val="left"/>
    </w:lvl>
    <w:lvl w:ilvl="6" w:tplc="2C46BF80">
      <w:numFmt w:val="decimal"/>
      <w:lvlText w:val=""/>
      <w:lvlJc w:val="left"/>
    </w:lvl>
    <w:lvl w:ilvl="7" w:tplc="166EFF14">
      <w:numFmt w:val="decimal"/>
      <w:lvlText w:val=""/>
      <w:lvlJc w:val="left"/>
    </w:lvl>
    <w:lvl w:ilvl="8" w:tplc="61E28530">
      <w:numFmt w:val="decimal"/>
      <w:lvlText w:val=""/>
      <w:lvlJc w:val="left"/>
    </w:lvl>
  </w:abstractNum>
  <w:num w:numId="1" w16cid:durableId="1332441600">
    <w:abstractNumId w:val="1"/>
    <w:lvlOverride w:ilvl="0">
      <w:startOverride w:val="1"/>
    </w:lvlOverride>
  </w:num>
  <w:num w:numId="2" w16cid:durableId="1791821768">
    <w:abstractNumId w:val="7"/>
    <w:lvlOverride w:ilvl="0">
      <w:startOverride w:val="1"/>
    </w:lvlOverride>
  </w:num>
  <w:num w:numId="3" w16cid:durableId="534731043">
    <w:abstractNumId w:val="2"/>
    <w:lvlOverride w:ilvl="0">
      <w:startOverride w:val="1"/>
    </w:lvlOverride>
  </w:num>
  <w:num w:numId="4" w16cid:durableId="2141072785">
    <w:abstractNumId w:val="9"/>
    <w:lvlOverride w:ilvl="0">
      <w:startOverride w:val="1"/>
    </w:lvlOverride>
  </w:num>
  <w:num w:numId="5" w16cid:durableId="771241664">
    <w:abstractNumId w:val="8"/>
    <w:lvlOverride w:ilvl="0">
      <w:startOverride w:val="1"/>
    </w:lvlOverride>
  </w:num>
  <w:num w:numId="6" w16cid:durableId="1475247187">
    <w:abstractNumId w:val="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C0B"/>
    <w:rsid w:val="006B47F9"/>
    <w:rsid w:val="008E3018"/>
    <w:rsid w:val="00F77C0B"/>
    <w:rsid w:val="00F87A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B32F7"/>
  <w15:docId w15:val="{D38EA1A0-5D80-4AF2-9DF5-B41C2DD9B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B3640"/>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1054</Words>
  <Characters>6008</Characters>
  <Application>Microsoft Office Word</Application>
  <DocSecurity>0</DocSecurity>
  <Lines>50</Lines>
  <Paragraphs>14</Paragraphs>
  <ScaleCrop>false</ScaleCrop>
  <Company/>
  <LinksUpToDate>false</LinksUpToDate>
  <CharactersWithSpaces>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2026-06-19T14:11:00Z</dcterms:created>
  <dcterms:modified xsi:type="dcterms:W3CDTF">2026-06-19T17:10:00Z</dcterms:modified>
</cp:coreProperties>
</file>