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746"/>
      </w:tblGrid>
      <w:tr w:rsidR="00836724" w14:paraId="6A76ABBC"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13316EDC" w14:textId="77777777" w:rsidR="00836724" w:rsidRDefault="00000000">
            <w:r>
              <w:rPr>
                <w:b/>
                <w:bCs/>
                <w:color w:val="FFFFFF"/>
                <w:spacing w:val="40"/>
                <w:sz w:val="26"/>
                <w:szCs w:val="26"/>
              </w:rPr>
              <w:t>BRADFORD VTS TEACHING AIDS</w:t>
            </w:r>
          </w:p>
        </w:tc>
      </w:tr>
    </w:tbl>
    <w:p w14:paraId="65A745E1" w14:textId="77777777" w:rsidR="00836724" w:rsidRDefault="00836724">
      <w:pPr>
        <w:spacing w:after="60"/>
      </w:pPr>
    </w:p>
    <w:p w14:paraId="5D30A8DF" w14:textId="77777777" w:rsidR="00836724" w:rsidRDefault="00000000">
      <w:pPr>
        <w:keepNext/>
        <w:spacing w:before="60" w:after="30" w:line="320" w:lineRule="auto"/>
      </w:pPr>
      <w:r>
        <w:rPr>
          <w:b/>
          <w:bCs/>
          <w:color w:val="1F2A36"/>
          <w:sz w:val="48"/>
          <w:szCs w:val="48"/>
        </w:rPr>
        <w:t>Polymyalgia Rheumatica &amp; Giant Cell Arteritis</w:t>
      </w:r>
    </w:p>
    <w:p w14:paraId="2ECB4E93" w14:textId="77777777" w:rsidR="00836724" w:rsidRDefault="00836724">
      <w:pPr>
        <w:pBdr>
          <w:bottom w:val="single" w:sz="22" w:space="1" w:color="8A4FA0"/>
        </w:pBdr>
        <w:spacing w:after="60"/>
      </w:pPr>
    </w:p>
    <w:p w14:paraId="489235E4" w14:textId="77777777" w:rsidR="00836724" w:rsidRDefault="00000000">
      <w:pPr>
        <w:tabs>
          <w:tab w:val="right" w:pos="9746"/>
        </w:tabs>
        <w:spacing w:before="40" w:after="200"/>
      </w:pPr>
      <w:r>
        <w:rPr>
          <w:b/>
          <w:bCs/>
          <w:color w:val="8A4FA0"/>
          <w:spacing w:val="12"/>
          <w:sz w:val="20"/>
          <w:szCs w:val="20"/>
        </w:rPr>
        <w:t xml:space="preserve">MSK Teaching </w:t>
      </w:r>
      <w:proofErr w:type="gramStart"/>
      <w:r>
        <w:rPr>
          <w:b/>
          <w:bCs/>
          <w:color w:val="8A4FA0"/>
          <w:spacing w:val="12"/>
          <w:sz w:val="20"/>
          <w:szCs w:val="20"/>
        </w:rPr>
        <w:t>Series  ·</w:t>
      </w:r>
      <w:proofErr w:type="gramEnd"/>
      <w:r>
        <w:rPr>
          <w:b/>
          <w:bCs/>
          <w:color w:val="8A4FA0"/>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836724" w14:paraId="135E35D3"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2C2A5986" w14:textId="77777777" w:rsidR="00836724" w:rsidRDefault="00000000">
            <w:pPr>
              <w:spacing w:after="70" w:line="248" w:lineRule="auto"/>
            </w:pPr>
            <w:proofErr w:type="gramStart"/>
            <w:r>
              <w:rPr>
                <w:b/>
                <w:bCs/>
                <w:color w:val="1E7A40"/>
              </w:rPr>
              <w:t>✓  In</w:t>
            </w:r>
            <w:proofErr w:type="gramEnd"/>
            <w:r>
              <w:rPr>
                <w:b/>
                <w:bCs/>
                <w:color w:val="1E7A40"/>
              </w:rPr>
              <w:t xml:space="preserve"> a nutshell</w:t>
            </w:r>
          </w:p>
          <w:p w14:paraId="6FB94085" w14:textId="77777777" w:rsidR="00836724" w:rsidRDefault="00000000">
            <w:pPr>
              <w:spacing w:after="60" w:line="252" w:lineRule="auto"/>
            </w:pPr>
            <w:r>
              <w:rPr>
                <w:b/>
                <w:bCs/>
              </w:rPr>
              <w:t>PMR and GCA are two ends of the same disease spectrum in the over-50s, and both melt away with steroids.</w:t>
            </w:r>
          </w:p>
          <w:p w14:paraId="30ED1C2A" w14:textId="77777777" w:rsidR="00836724" w:rsidRDefault="00000000">
            <w:pPr>
              <w:spacing w:line="252" w:lineRule="auto"/>
            </w:pPr>
            <w:r>
              <w:rPr>
                <w:b/>
                <w:bCs/>
              </w:rPr>
              <w:t xml:space="preserve">The danger is GCA. </w:t>
            </w:r>
            <w:r>
              <w:t xml:space="preserve">It can cause sudden, permanent blindness. </w:t>
            </w:r>
            <w:proofErr w:type="gramStart"/>
            <w:r>
              <w:t>So</w:t>
            </w:r>
            <w:proofErr w:type="gramEnd"/>
            <w:r>
              <w:t xml:space="preserve"> the rule is simple: if you suspect GCA, start high-dose steroids first and refer the same day — never wait for tests.</w:t>
            </w:r>
          </w:p>
        </w:tc>
      </w:tr>
      <w:tr w:rsidR="00836724" w14:paraId="39794F48"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8A4FA0"/>
            <w:tcMar>
              <w:top w:w="0" w:type="dxa"/>
              <w:left w:w="0" w:type="dxa"/>
              <w:bottom w:w="0" w:type="dxa"/>
              <w:right w:w="0" w:type="dxa"/>
            </w:tcMar>
          </w:tcPr>
          <w:p w14:paraId="2043ACD5" w14:textId="77777777" w:rsidR="00836724" w:rsidRDefault="00836724"/>
        </w:tc>
        <w:tc>
          <w:tcPr>
            <w:tcW w:w="9686" w:type="dxa"/>
            <w:shd w:val="clear" w:color="auto" w:fill="F4F6F8"/>
            <w:tcMar>
              <w:top w:w="70" w:type="dxa"/>
              <w:left w:w="150" w:type="dxa"/>
              <w:bottom w:w="70" w:type="dxa"/>
              <w:right w:w="120" w:type="dxa"/>
            </w:tcMar>
            <w:vAlign w:val="center"/>
          </w:tcPr>
          <w:p w14:paraId="5F4A1E4D" w14:textId="77777777" w:rsidR="00836724" w:rsidRDefault="00000000">
            <w:pPr>
              <w:spacing w:line="252" w:lineRule="auto"/>
            </w:pPr>
            <w:r>
              <w:rPr>
                <w:b/>
                <w:bCs/>
                <w:color w:val="21303D"/>
                <w:sz w:val="27"/>
                <w:szCs w:val="27"/>
              </w:rPr>
              <w:t>Polymyalgia Rheumatica (PMR)</w:t>
            </w:r>
          </w:p>
        </w:tc>
      </w:tr>
    </w:tbl>
    <w:p w14:paraId="7DE358CA" w14:textId="77777777" w:rsidR="00836724" w:rsidRDefault="00000000">
      <w:pPr>
        <w:keepNext/>
        <w:keepLines/>
        <w:spacing w:before="200" w:after="90" w:line="252" w:lineRule="auto"/>
      </w:pPr>
      <w:r>
        <w:rPr>
          <w:color w:val="8A4FA0"/>
          <w:sz w:val="24"/>
          <w:szCs w:val="24"/>
        </w:rPr>
        <w:t>▍</w:t>
      </w:r>
      <w:r>
        <w:rPr>
          <w:b/>
          <w:bCs/>
          <w:color w:val="21303D"/>
          <w:sz w:val="23"/>
          <w:szCs w:val="23"/>
        </w:rPr>
        <w:t xml:space="preserve"> </w:t>
      </w:r>
      <w:proofErr w:type="gramStart"/>
      <w:r>
        <w:rPr>
          <w:b/>
          <w:bCs/>
          <w:color w:val="21303D"/>
          <w:sz w:val="23"/>
          <w:szCs w:val="23"/>
        </w:rPr>
        <w:t>Recognise  ·</w:t>
      </w:r>
      <w:proofErr w:type="gramEnd"/>
      <w:r>
        <w:rPr>
          <w:b/>
          <w:bCs/>
          <w:color w:val="21303D"/>
          <w:sz w:val="23"/>
          <w:szCs w:val="23"/>
        </w:rPr>
        <w:t xml:space="preserve">  Core diagnostic features</w:t>
      </w:r>
    </w:p>
    <w:p w14:paraId="15D24335" w14:textId="77777777" w:rsidR="00836724" w:rsidRDefault="00000000">
      <w:pPr>
        <w:pStyle w:val="ListParagraph"/>
        <w:numPr>
          <w:ilvl w:val="0"/>
          <w:numId w:val="2"/>
        </w:numPr>
        <w:spacing w:after="60" w:line="252" w:lineRule="auto"/>
      </w:pPr>
      <w:r>
        <w:rPr>
          <w:b/>
          <w:bCs/>
        </w:rPr>
        <w:t>Age over 50</w:t>
      </w:r>
      <w:r>
        <w:t>, with symptoms lasting more than 2 weeks.</w:t>
      </w:r>
    </w:p>
    <w:p w14:paraId="3E690B9D" w14:textId="77777777" w:rsidR="00836724" w:rsidRDefault="00000000">
      <w:pPr>
        <w:pStyle w:val="ListParagraph"/>
        <w:numPr>
          <w:ilvl w:val="0"/>
          <w:numId w:val="2"/>
        </w:numPr>
        <w:spacing w:after="60" w:line="252" w:lineRule="auto"/>
      </w:pPr>
      <w:r>
        <w:rPr>
          <w:b/>
          <w:bCs/>
        </w:rPr>
        <w:t>Bilateral aching of the shoulder and/or pelvic girdle</w:t>
      </w:r>
      <w:r>
        <w:t>.</w:t>
      </w:r>
    </w:p>
    <w:p w14:paraId="5EEF6B30" w14:textId="77777777" w:rsidR="00836724" w:rsidRDefault="00000000">
      <w:pPr>
        <w:pStyle w:val="ListParagraph"/>
        <w:numPr>
          <w:ilvl w:val="0"/>
          <w:numId w:val="2"/>
        </w:numPr>
        <w:spacing w:after="60" w:line="252" w:lineRule="auto"/>
      </w:pPr>
      <w:r>
        <w:rPr>
          <w:b/>
          <w:bCs/>
        </w:rPr>
        <w:t>Morning stiffness lasting more than 45 minutes</w:t>
      </w:r>
      <w:r>
        <w:t>.</w:t>
      </w:r>
    </w:p>
    <w:p w14:paraId="21EFF285" w14:textId="77777777" w:rsidR="00836724" w:rsidRDefault="00000000">
      <w:pPr>
        <w:pStyle w:val="ListParagraph"/>
        <w:numPr>
          <w:ilvl w:val="0"/>
          <w:numId w:val="2"/>
        </w:numPr>
        <w:spacing w:after="60" w:line="252" w:lineRule="auto"/>
      </w:pPr>
      <w:r>
        <w:rPr>
          <w:b/>
          <w:bCs/>
        </w:rPr>
        <w:t>Evidence of an acute-phase response</w:t>
      </w:r>
      <w:r>
        <w:t xml:space="preserve"> (raised ESR and/or CRP).</w:t>
      </w:r>
    </w:p>
    <w:p w14:paraId="0D37A93E" w14:textId="77777777" w:rsidR="00836724" w:rsidRDefault="00000000">
      <w:pPr>
        <w:spacing w:before="40" w:after="120" w:line="264" w:lineRule="auto"/>
      </w:pPr>
      <w:r>
        <w:t xml:space="preserve">The patient often feels genuinely unwell. On examination the range of movement is preserved — </w:t>
      </w:r>
      <w:r>
        <w:rPr>
          <w:i/>
          <w:iCs/>
        </w:rPr>
        <w:t>pain limits movement, but there is no mechanical block.</w:t>
      </w:r>
    </w:p>
    <w:tbl>
      <w:tblPr>
        <w:tblW w:w="9746"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836724" w14:paraId="57B6BC71" w14:textId="77777777">
        <w:tblPrEx>
          <w:tblCellMar>
            <w:top w:w="0" w:type="dxa"/>
            <w:bottom w:w="0" w:type="dxa"/>
          </w:tblCellMar>
        </w:tblPrEx>
        <w:trPr>
          <w:cantSplit/>
        </w:trPr>
        <w:tc>
          <w:tcPr>
            <w:tcW w:w="9746" w:type="dxa"/>
            <w:shd w:val="clear" w:color="auto" w:fill="E9F1FB"/>
            <w:tcMar>
              <w:top w:w="110" w:type="dxa"/>
              <w:left w:w="200" w:type="dxa"/>
              <w:bottom w:w="110" w:type="dxa"/>
              <w:right w:w="160" w:type="dxa"/>
            </w:tcMar>
          </w:tcPr>
          <w:p w14:paraId="2B646998" w14:textId="77777777" w:rsidR="00836724" w:rsidRDefault="00000000">
            <w:pPr>
              <w:spacing w:after="70" w:line="248" w:lineRule="auto"/>
            </w:pPr>
            <w:proofErr w:type="gramStart"/>
            <w:r>
              <w:rPr>
                <w:b/>
                <w:bCs/>
                <w:color w:val="1F5C95"/>
              </w:rPr>
              <w:t>▸  Differentials</w:t>
            </w:r>
            <w:proofErr w:type="gramEnd"/>
            <w:r>
              <w:rPr>
                <w:b/>
                <w:bCs/>
                <w:color w:val="1F5C95"/>
              </w:rPr>
              <w:t xml:space="preserve"> — and the one you must never miss</w:t>
            </w:r>
          </w:p>
          <w:p w14:paraId="4633BD4B" w14:textId="77777777" w:rsidR="00836724" w:rsidRDefault="00000000">
            <w:pPr>
              <w:spacing w:after="60" w:line="252" w:lineRule="auto"/>
            </w:pPr>
            <w:r>
              <w:rPr>
                <w:b/>
                <w:bCs/>
              </w:rPr>
              <w:t xml:space="preserve">Consider: </w:t>
            </w:r>
            <w:r>
              <w:t>rheumatoid arthritis, a viral illness, polymyositis, fibromyalgia, hypothyroidism and malignancy.</w:t>
            </w:r>
          </w:p>
          <w:p w14:paraId="49F1AE40" w14:textId="77777777" w:rsidR="00836724" w:rsidRDefault="00000000">
            <w:pPr>
              <w:spacing w:line="252" w:lineRule="auto"/>
            </w:pPr>
            <w:r>
              <w:rPr>
                <w:b/>
                <w:bCs/>
                <w:color w:val="B02A2A"/>
              </w:rPr>
              <w:t xml:space="preserve">Always exclude GCA: </w:t>
            </w:r>
            <w:r>
              <w:t>ask directly about new headache, scalp tenderness, jaw or tongue claudication, and any visual symptoms.</w:t>
            </w:r>
          </w:p>
        </w:tc>
      </w:tr>
    </w:tbl>
    <w:p w14:paraId="18682A2C" w14:textId="77777777" w:rsidR="00836724" w:rsidRDefault="00000000">
      <w:pPr>
        <w:keepNext/>
        <w:keepLines/>
        <w:spacing w:before="200" w:after="90" w:line="252" w:lineRule="auto"/>
      </w:pPr>
      <w:r>
        <w:rPr>
          <w:color w:val="8A4FA0"/>
          <w:sz w:val="24"/>
          <w:szCs w:val="24"/>
        </w:rPr>
        <w:t>▍</w:t>
      </w:r>
      <w:r>
        <w:rPr>
          <w:b/>
          <w:bCs/>
          <w:color w:val="21303D"/>
          <w:sz w:val="23"/>
          <w:szCs w:val="23"/>
        </w:rPr>
        <w:t xml:space="preserve"> Investigations</w:t>
      </w:r>
    </w:p>
    <w:p w14:paraId="6F269BC5" w14:textId="77777777" w:rsidR="00836724" w:rsidRDefault="00000000">
      <w:pPr>
        <w:spacing w:after="120" w:line="264" w:lineRule="auto"/>
      </w:pPr>
      <w:r>
        <w:t xml:space="preserve">FBC, ESR, CRP, U&amp;E, LFT, TFT and bone profile; protein electrophoresis / urinary Bence-Jones protein and a urine dipstick (blood and protein). Add </w:t>
      </w:r>
      <w:r>
        <w:rPr>
          <w:b/>
          <w:bCs/>
        </w:rPr>
        <w:t>CK</w:t>
      </w:r>
      <w:r>
        <w:t xml:space="preserve"> (polymyositis), </w:t>
      </w:r>
      <w:r>
        <w:rPr>
          <w:b/>
          <w:bCs/>
        </w:rPr>
        <w:t>RF / anti-CCP / ANA</w:t>
      </w:r>
      <w:r>
        <w:t xml:space="preserve"> (RA and connective-tissue disease can mimic PMR), and consider a </w:t>
      </w:r>
      <w:r>
        <w:rPr>
          <w:b/>
          <w:bCs/>
        </w:rPr>
        <w:t>CXR</w:t>
      </w:r>
      <w:r>
        <w:t xml:space="preserve"> to exclude malignancy.</w:t>
      </w:r>
    </w:p>
    <w:p w14:paraId="3732C0D7" w14:textId="77777777" w:rsidR="00836724" w:rsidRDefault="00000000">
      <w:pPr>
        <w:keepNext/>
        <w:keepLines/>
        <w:spacing w:before="200" w:after="90" w:line="252" w:lineRule="auto"/>
      </w:pPr>
      <w:r>
        <w:rPr>
          <w:color w:val="8A4FA0"/>
          <w:sz w:val="24"/>
          <w:szCs w:val="24"/>
        </w:rPr>
        <w:t>▍</w:t>
      </w:r>
      <w:r>
        <w:rPr>
          <w:b/>
          <w:bCs/>
          <w:color w:val="21303D"/>
          <w:sz w:val="23"/>
          <w:szCs w:val="23"/>
        </w:rPr>
        <w:t xml:space="preserve"> </w:t>
      </w:r>
      <w:proofErr w:type="gramStart"/>
      <w:r>
        <w:rPr>
          <w:b/>
          <w:bCs/>
          <w:color w:val="21303D"/>
          <w:sz w:val="23"/>
          <w:szCs w:val="23"/>
        </w:rPr>
        <w:t>Act  ·</w:t>
      </w:r>
      <w:proofErr w:type="gramEnd"/>
      <w:r>
        <w:rPr>
          <w:b/>
          <w:bCs/>
          <w:color w:val="21303D"/>
          <w:sz w:val="23"/>
          <w:szCs w:val="23"/>
        </w:rPr>
        <w:t xml:space="preserve">  Steroid treatment</w:t>
      </w:r>
    </w:p>
    <w:p w14:paraId="311CBDB7" w14:textId="77777777" w:rsidR="00836724" w:rsidRDefault="00000000">
      <w:pPr>
        <w:spacing w:after="60" w:line="264" w:lineRule="auto"/>
      </w:pPr>
      <w:r>
        <w:t xml:space="preserve">Start </w:t>
      </w:r>
      <w:r>
        <w:rPr>
          <w:b/>
          <w:bCs/>
        </w:rPr>
        <w:t>prednisolone 15 mg once daily</w:t>
      </w:r>
      <w:r>
        <w:t>, then taper gradually as symptoms allow:</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0"/>
        <w:gridCol w:w="4546"/>
      </w:tblGrid>
      <w:tr w:rsidR="00836724" w14:paraId="37BBCE95" w14:textId="77777777">
        <w:tblPrEx>
          <w:tblCellMar>
            <w:top w:w="0" w:type="dxa"/>
            <w:bottom w:w="0" w:type="dxa"/>
          </w:tblCellMar>
        </w:tblPrEx>
        <w:trPr>
          <w:cantSplit/>
          <w:tblHeader/>
        </w:trPr>
        <w:tc>
          <w:tcPr>
            <w:tcW w:w="5200" w:type="dxa"/>
            <w:tcBorders>
              <w:top w:val="single" w:sz="4" w:space="0" w:color="8A4FA0"/>
              <w:left w:val="single" w:sz="4" w:space="0" w:color="8A4FA0"/>
              <w:bottom w:val="single" w:sz="4" w:space="0" w:color="8A4FA0"/>
              <w:right w:val="single" w:sz="4" w:space="0" w:color="8A4FA0"/>
            </w:tcBorders>
            <w:shd w:val="clear" w:color="auto" w:fill="8A4FA0"/>
            <w:tcMar>
              <w:top w:w="60" w:type="dxa"/>
              <w:left w:w="130" w:type="dxa"/>
              <w:bottom w:w="60" w:type="dxa"/>
              <w:right w:w="110" w:type="dxa"/>
            </w:tcMar>
            <w:vAlign w:val="center"/>
          </w:tcPr>
          <w:p w14:paraId="36A6E581" w14:textId="77777777" w:rsidR="00836724" w:rsidRDefault="00000000">
            <w:pPr>
              <w:spacing w:line="248" w:lineRule="auto"/>
            </w:pPr>
            <w:r>
              <w:rPr>
                <w:b/>
                <w:bCs/>
                <w:color w:val="FFFFFF"/>
                <w:sz w:val="20"/>
                <w:szCs w:val="20"/>
              </w:rPr>
              <w:t>Stage</w:t>
            </w:r>
          </w:p>
        </w:tc>
        <w:tc>
          <w:tcPr>
            <w:tcW w:w="4546" w:type="dxa"/>
            <w:tcBorders>
              <w:top w:val="single" w:sz="4" w:space="0" w:color="8A4FA0"/>
              <w:left w:val="single" w:sz="4" w:space="0" w:color="8A4FA0"/>
              <w:bottom w:val="single" w:sz="4" w:space="0" w:color="8A4FA0"/>
              <w:right w:val="single" w:sz="4" w:space="0" w:color="8A4FA0"/>
            </w:tcBorders>
            <w:shd w:val="clear" w:color="auto" w:fill="8A4FA0"/>
            <w:tcMar>
              <w:top w:w="60" w:type="dxa"/>
              <w:left w:w="130" w:type="dxa"/>
              <w:bottom w:w="60" w:type="dxa"/>
              <w:right w:w="110" w:type="dxa"/>
            </w:tcMar>
            <w:vAlign w:val="center"/>
          </w:tcPr>
          <w:p w14:paraId="3BBF5F67" w14:textId="77777777" w:rsidR="00836724" w:rsidRDefault="00000000">
            <w:pPr>
              <w:spacing w:line="248" w:lineRule="auto"/>
            </w:pPr>
            <w:r>
              <w:rPr>
                <w:b/>
                <w:bCs/>
                <w:color w:val="FFFFFF"/>
                <w:sz w:val="20"/>
                <w:szCs w:val="20"/>
              </w:rPr>
              <w:t>Dose</w:t>
            </w:r>
          </w:p>
        </w:tc>
      </w:tr>
      <w:tr w:rsidR="00836724" w14:paraId="7D0F7F2C"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AF0EDA4" w14:textId="77777777" w:rsidR="00836724" w:rsidRDefault="00000000">
            <w:pPr>
              <w:spacing w:line="248" w:lineRule="auto"/>
            </w:pPr>
            <w:r>
              <w:rPr>
                <w:sz w:val="20"/>
                <w:szCs w:val="20"/>
              </w:rPr>
              <w:t>First 3 weeks</w:t>
            </w:r>
          </w:p>
        </w:tc>
        <w:tc>
          <w:tcPr>
            <w:tcW w:w="4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7D9794E" w14:textId="77777777" w:rsidR="00836724" w:rsidRDefault="00000000">
            <w:pPr>
              <w:spacing w:line="248" w:lineRule="auto"/>
            </w:pPr>
            <w:r>
              <w:rPr>
                <w:sz w:val="20"/>
                <w:szCs w:val="20"/>
              </w:rPr>
              <w:t>Prednisolone 15 mg once daily</w:t>
            </w:r>
          </w:p>
        </w:tc>
      </w:tr>
      <w:tr w:rsidR="00836724" w14:paraId="50F29F38"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68EB305" w14:textId="77777777" w:rsidR="00836724" w:rsidRDefault="00000000">
            <w:pPr>
              <w:spacing w:line="248" w:lineRule="auto"/>
            </w:pPr>
            <w:r>
              <w:rPr>
                <w:sz w:val="20"/>
                <w:szCs w:val="20"/>
              </w:rPr>
              <w:t>Next 3 weeks</w:t>
            </w:r>
          </w:p>
        </w:tc>
        <w:tc>
          <w:tcPr>
            <w:tcW w:w="4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B76A05B" w14:textId="77777777" w:rsidR="00836724" w:rsidRDefault="00000000">
            <w:pPr>
              <w:spacing w:line="248" w:lineRule="auto"/>
            </w:pPr>
            <w:r>
              <w:rPr>
                <w:sz w:val="20"/>
                <w:szCs w:val="20"/>
              </w:rPr>
              <w:t>12.5 mg once daily</w:t>
            </w:r>
          </w:p>
        </w:tc>
      </w:tr>
      <w:tr w:rsidR="00836724" w14:paraId="754DB260"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6D31139" w14:textId="77777777" w:rsidR="00836724" w:rsidRDefault="00000000">
            <w:pPr>
              <w:spacing w:line="248" w:lineRule="auto"/>
            </w:pPr>
            <w:r>
              <w:rPr>
                <w:sz w:val="20"/>
                <w:szCs w:val="20"/>
              </w:rPr>
              <w:t>Then 4–6 weeks</w:t>
            </w:r>
          </w:p>
        </w:tc>
        <w:tc>
          <w:tcPr>
            <w:tcW w:w="4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A485E11" w14:textId="77777777" w:rsidR="00836724" w:rsidRDefault="00000000">
            <w:pPr>
              <w:spacing w:line="248" w:lineRule="auto"/>
            </w:pPr>
            <w:r>
              <w:rPr>
                <w:sz w:val="20"/>
                <w:szCs w:val="20"/>
              </w:rPr>
              <w:t>10 mg once daily</w:t>
            </w:r>
          </w:p>
        </w:tc>
      </w:tr>
      <w:tr w:rsidR="00836724" w14:paraId="66063F3C"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0C104E9" w14:textId="77777777" w:rsidR="00836724" w:rsidRDefault="00000000">
            <w:pPr>
              <w:spacing w:line="248" w:lineRule="auto"/>
            </w:pPr>
            <w:r>
              <w:rPr>
                <w:sz w:val="20"/>
                <w:szCs w:val="20"/>
              </w:rPr>
              <w:t>Thereafter</w:t>
            </w:r>
          </w:p>
        </w:tc>
        <w:tc>
          <w:tcPr>
            <w:tcW w:w="4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7E6382F" w14:textId="77777777" w:rsidR="00836724" w:rsidRDefault="00000000">
            <w:pPr>
              <w:spacing w:line="248" w:lineRule="auto"/>
            </w:pPr>
            <w:r>
              <w:rPr>
                <w:sz w:val="20"/>
                <w:szCs w:val="20"/>
              </w:rPr>
              <w:t>Reduce by 1 mg every 4–8 weeks (slow down at lower doses)</w:t>
            </w:r>
          </w:p>
        </w:tc>
      </w:tr>
    </w:tbl>
    <w:p w14:paraId="18B4CAAC" w14:textId="77777777" w:rsidR="00836724" w:rsidRDefault="00000000">
      <w:pPr>
        <w:pStyle w:val="ListParagraph"/>
        <w:numPr>
          <w:ilvl w:val="0"/>
          <w:numId w:val="2"/>
        </w:numPr>
        <w:spacing w:after="40" w:line="252" w:lineRule="auto"/>
      </w:pPr>
      <w:r>
        <w:rPr>
          <w:b/>
          <w:bCs/>
        </w:rPr>
        <w:t>Review one week after every dose change, and at least 3-monthly in the first year.</w:t>
      </w:r>
    </w:p>
    <w:p w14:paraId="6ACFF535" w14:textId="77777777" w:rsidR="00836724" w:rsidRDefault="00000000">
      <w:pPr>
        <w:pStyle w:val="ListParagraph"/>
        <w:numPr>
          <w:ilvl w:val="0"/>
          <w:numId w:val="2"/>
        </w:numPr>
        <w:spacing w:after="60" w:line="252" w:lineRule="auto"/>
      </w:pPr>
      <w:r>
        <w:rPr>
          <w:b/>
          <w:bCs/>
        </w:rPr>
        <w:lastRenderedPageBreak/>
        <w:t xml:space="preserve">Bone protection: </w:t>
      </w:r>
      <w:r>
        <w:t>assess fracture risk (FRAX); offer calcium and vitamin D, plus a bisphosphonate according to risk — not on age alone.</w:t>
      </w:r>
    </w:p>
    <w:p w14:paraId="46FEF275" w14:textId="77777777" w:rsidR="00836724" w:rsidRDefault="00000000">
      <w:pPr>
        <w:pStyle w:val="ListParagraph"/>
        <w:numPr>
          <w:ilvl w:val="0"/>
          <w:numId w:val="2"/>
        </w:numPr>
        <w:spacing w:after="60" w:line="252" w:lineRule="auto"/>
      </w:pPr>
      <w:r>
        <w:rPr>
          <w:b/>
          <w:bCs/>
        </w:rPr>
        <w:t xml:space="preserve">Steroid surveillance: </w:t>
      </w:r>
      <w:r>
        <w:t>these patients are on steroids for months — watch weight, glucose, blood pressure, lipids, mood and upper-GI symptoms.</w:t>
      </w:r>
    </w:p>
    <w:tbl>
      <w:tblPr>
        <w:tblW w:w="9746" w:type="dxa"/>
        <w:tblInd w:w="-35"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836724" w14:paraId="292D7278" w14:textId="77777777">
        <w:tblPrEx>
          <w:tblCellMar>
            <w:top w:w="0" w:type="dxa"/>
            <w:bottom w:w="0" w:type="dxa"/>
          </w:tblCellMar>
        </w:tblPrEx>
        <w:trPr>
          <w:gridBefore w:val="1"/>
          <w:wBefore w:w="35" w:type="dxa"/>
          <w:cantSplit/>
        </w:trPr>
        <w:tc>
          <w:tcPr>
            <w:tcW w:w="9746" w:type="dxa"/>
            <w:gridSpan w:val="3"/>
            <w:shd w:val="clear" w:color="auto" w:fill="E9F1FB"/>
            <w:tcMar>
              <w:top w:w="110" w:type="dxa"/>
              <w:left w:w="200" w:type="dxa"/>
              <w:bottom w:w="110" w:type="dxa"/>
              <w:right w:w="160" w:type="dxa"/>
            </w:tcMar>
          </w:tcPr>
          <w:p w14:paraId="3DA84440" w14:textId="77777777" w:rsidR="00836724" w:rsidRDefault="00000000">
            <w:pPr>
              <w:spacing w:after="70" w:line="248" w:lineRule="auto"/>
            </w:pPr>
            <w:proofErr w:type="gramStart"/>
            <w:r>
              <w:rPr>
                <w:b/>
                <w:bCs/>
                <w:color w:val="1F5C95"/>
              </w:rPr>
              <w:t>▸  The</w:t>
            </w:r>
            <w:proofErr w:type="gramEnd"/>
            <w:r>
              <w:rPr>
                <w:b/>
                <w:bCs/>
                <w:color w:val="1F5C95"/>
              </w:rPr>
              <w:t xml:space="preserve"> steroid-response test</w:t>
            </w:r>
          </w:p>
          <w:p w14:paraId="7B4F2B9B" w14:textId="77777777" w:rsidR="00836724" w:rsidRDefault="00000000">
            <w:pPr>
              <w:spacing w:after="60" w:line="252" w:lineRule="auto"/>
            </w:pPr>
            <w:r>
              <w:t>Improvement in PMR is dramatic — much faster than in OA or RA — and this is itself a useful diagnostic clue.</w:t>
            </w:r>
          </w:p>
          <w:p w14:paraId="2748C9C7" w14:textId="77777777" w:rsidR="00836724" w:rsidRDefault="00000000">
            <w:pPr>
              <w:pStyle w:val="ListParagraph"/>
              <w:numPr>
                <w:ilvl w:val="0"/>
                <w:numId w:val="3"/>
              </w:numPr>
              <w:spacing w:after="50" w:line="248" w:lineRule="auto"/>
            </w:pPr>
            <w:r>
              <w:rPr>
                <w:b/>
                <w:bCs/>
              </w:rPr>
              <w:t>More than 70% global improvement within 1 week</w:t>
            </w:r>
            <w:r>
              <w:t xml:space="preserve"> → the diagnosis is likely PMR.</w:t>
            </w:r>
          </w:p>
          <w:p w14:paraId="2E71A37F" w14:textId="77777777" w:rsidR="00836724" w:rsidRDefault="00000000">
            <w:pPr>
              <w:pStyle w:val="ListParagraph"/>
              <w:numPr>
                <w:ilvl w:val="0"/>
                <w:numId w:val="3"/>
              </w:numPr>
              <w:spacing w:after="50" w:line="248" w:lineRule="auto"/>
            </w:pPr>
            <w:r>
              <w:rPr>
                <w:b/>
                <w:bCs/>
              </w:rPr>
              <w:t>Less than 70%</w:t>
            </w:r>
            <w:r>
              <w:t xml:space="preserve"> → increase prednisolone up to 20 mg.</w:t>
            </w:r>
          </w:p>
          <w:p w14:paraId="589A0E8F" w14:textId="77777777" w:rsidR="00836724" w:rsidRDefault="00000000">
            <w:pPr>
              <w:pStyle w:val="ListParagraph"/>
              <w:numPr>
                <w:ilvl w:val="0"/>
                <w:numId w:val="3"/>
              </w:numPr>
              <w:spacing w:line="248" w:lineRule="auto"/>
            </w:pPr>
            <w:r>
              <w:rPr>
                <w:b/>
                <w:bCs/>
              </w:rPr>
              <w:t xml:space="preserve">Still poor → </w:t>
            </w:r>
            <w:r>
              <w:t>reconsider the diagnosis or refer.</w:t>
            </w:r>
          </w:p>
        </w:tc>
      </w:tr>
      <w:tr w:rsidR="00836724" w14:paraId="691A5882"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8A4FA0"/>
            <w:tcMar>
              <w:top w:w="0" w:type="dxa"/>
              <w:left w:w="0" w:type="dxa"/>
              <w:bottom w:w="0" w:type="dxa"/>
              <w:right w:w="0" w:type="dxa"/>
            </w:tcMar>
          </w:tcPr>
          <w:p w14:paraId="4F8D3C5C" w14:textId="77777777" w:rsidR="00836724" w:rsidRDefault="00836724"/>
        </w:tc>
        <w:tc>
          <w:tcPr>
            <w:tcW w:w="9686" w:type="dxa"/>
            <w:shd w:val="clear" w:color="auto" w:fill="F4F6F8"/>
            <w:tcMar>
              <w:top w:w="70" w:type="dxa"/>
              <w:left w:w="150" w:type="dxa"/>
              <w:bottom w:w="70" w:type="dxa"/>
              <w:right w:w="120" w:type="dxa"/>
            </w:tcMar>
            <w:vAlign w:val="center"/>
          </w:tcPr>
          <w:p w14:paraId="78517C4C" w14:textId="77777777" w:rsidR="00836724" w:rsidRDefault="00000000">
            <w:pPr>
              <w:spacing w:line="252" w:lineRule="auto"/>
            </w:pPr>
            <w:r>
              <w:rPr>
                <w:b/>
                <w:bCs/>
                <w:color w:val="21303D"/>
                <w:sz w:val="27"/>
                <w:szCs w:val="27"/>
              </w:rPr>
              <w:t>Giant Cell Arteritis (</w:t>
            </w:r>
            <w:proofErr w:type="gramStart"/>
            <w:r>
              <w:rPr>
                <w:b/>
                <w:bCs/>
                <w:color w:val="21303D"/>
                <w:sz w:val="27"/>
                <w:szCs w:val="27"/>
              </w:rPr>
              <w:t>GCA)  ·</w:t>
            </w:r>
            <w:proofErr w:type="gramEnd"/>
            <w:r>
              <w:rPr>
                <w:b/>
                <w:bCs/>
                <w:color w:val="21303D"/>
                <w:sz w:val="27"/>
                <w:szCs w:val="27"/>
              </w:rPr>
              <w:t xml:space="preserve">  A sight-threatening emergency</w:t>
            </w:r>
          </w:p>
        </w:tc>
      </w:tr>
    </w:tbl>
    <w:p w14:paraId="32C25875" w14:textId="77777777" w:rsidR="00836724" w:rsidRDefault="00000000">
      <w:pPr>
        <w:keepNext/>
        <w:keepLines/>
        <w:spacing w:before="200" w:after="90" w:line="252" w:lineRule="auto"/>
      </w:pPr>
      <w:r>
        <w:rPr>
          <w:color w:val="8A4FA0"/>
          <w:sz w:val="24"/>
          <w:szCs w:val="24"/>
        </w:rPr>
        <w:t>▍</w:t>
      </w:r>
      <w:r>
        <w:rPr>
          <w:b/>
          <w:bCs/>
          <w:color w:val="21303D"/>
          <w:sz w:val="23"/>
          <w:szCs w:val="23"/>
        </w:rPr>
        <w:t xml:space="preserve"> Recognise</w:t>
      </w:r>
    </w:p>
    <w:p w14:paraId="64C84330" w14:textId="77777777" w:rsidR="00836724" w:rsidRDefault="00000000">
      <w:pPr>
        <w:spacing w:after="120" w:line="264" w:lineRule="auto"/>
      </w:pPr>
      <w:r>
        <w:t xml:space="preserve">New temporal headache and scalp tenderness; a tender, thickened or pulseless temporal artery; </w:t>
      </w:r>
      <w:r>
        <w:rPr>
          <w:b/>
          <w:bCs/>
        </w:rPr>
        <w:t>jaw or tongue claudication</w:t>
      </w:r>
      <w:r>
        <w:t xml:space="preserve">; and — the feared one — </w:t>
      </w:r>
      <w:r>
        <w:rPr>
          <w:b/>
          <w:bCs/>
        </w:rPr>
        <w:t>visual disturbance</w:t>
      </w:r>
      <w:r>
        <w:t xml:space="preserve"> (transient loss / amaurosis fugax, blurring or double vision). Often accompanied by PMR symptoms and systemic upset.</w:t>
      </w:r>
    </w:p>
    <w:tbl>
      <w:tblPr>
        <w:tblW w:w="9746" w:type="dxa"/>
        <w:tblBorders>
          <w:top w:val="single" w:sz="2" w:space="0" w:color="D34747"/>
          <w:left w:val="single" w:sz="28" w:space="0" w:color="D34747"/>
          <w:bottom w:val="single" w:sz="2" w:space="0" w:color="D34747"/>
          <w:right w:val="single" w:sz="2" w:space="0" w:color="D3474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836724" w14:paraId="4C7D2ADA" w14:textId="77777777">
        <w:tblPrEx>
          <w:tblCellMar>
            <w:top w:w="0" w:type="dxa"/>
            <w:bottom w:w="0" w:type="dxa"/>
          </w:tblCellMar>
        </w:tblPrEx>
        <w:trPr>
          <w:cantSplit/>
        </w:trPr>
        <w:tc>
          <w:tcPr>
            <w:tcW w:w="9746" w:type="dxa"/>
            <w:shd w:val="clear" w:color="auto" w:fill="FBEAEA"/>
            <w:tcMar>
              <w:top w:w="110" w:type="dxa"/>
              <w:left w:w="200" w:type="dxa"/>
              <w:bottom w:w="110" w:type="dxa"/>
              <w:right w:w="160" w:type="dxa"/>
            </w:tcMar>
          </w:tcPr>
          <w:p w14:paraId="71C67B99" w14:textId="77777777" w:rsidR="00836724" w:rsidRDefault="00000000">
            <w:pPr>
              <w:spacing w:after="70" w:line="248" w:lineRule="auto"/>
            </w:pPr>
            <w:proofErr w:type="gramStart"/>
            <w:r>
              <w:rPr>
                <w:b/>
                <w:bCs/>
                <w:color w:val="B02A2A"/>
              </w:rPr>
              <w:t>▲  Act</w:t>
            </w:r>
            <w:proofErr w:type="gramEnd"/>
            <w:r>
              <w:rPr>
                <w:b/>
                <w:bCs/>
                <w:color w:val="B02A2A"/>
              </w:rPr>
              <w:t xml:space="preserve"> NOW — do not wait for tests or biopsy</w:t>
            </w:r>
          </w:p>
          <w:p w14:paraId="6680A3C0" w14:textId="77777777" w:rsidR="00836724" w:rsidRDefault="00000000">
            <w:pPr>
              <w:pStyle w:val="ListParagraph"/>
              <w:numPr>
                <w:ilvl w:val="0"/>
                <w:numId w:val="4"/>
              </w:numPr>
              <w:spacing w:after="50" w:line="248" w:lineRule="auto"/>
            </w:pPr>
            <w:r>
              <w:rPr>
                <w:b/>
                <w:bCs/>
                <w:color w:val="B02A2A"/>
              </w:rPr>
              <w:t>Start high-dose prednisolone immediately: 40–60 mg once daily (at least 0.75 mg/kg).</w:t>
            </w:r>
          </w:p>
          <w:p w14:paraId="7016F0A9" w14:textId="77777777" w:rsidR="00836724" w:rsidRDefault="00000000">
            <w:pPr>
              <w:pStyle w:val="ListParagraph"/>
              <w:numPr>
                <w:ilvl w:val="0"/>
                <w:numId w:val="4"/>
              </w:numPr>
              <w:spacing w:after="50" w:line="248" w:lineRule="auto"/>
            </w:pPr>
            <w:r>
              <w:rPr>
                <w:b/>
                <w:bCs/>
              </w:rPr>
              <w:t>Refer the same day</w:t>
            </w:r>
            <w:r>
              <w:t xml:space="preserve"> to the GCA fast-track pathway (ophthalmology / rheumatology).</w:t>
            </w:r>
          </w:p>
          <w:p w14:paraId="3B1B8386" w14:textId="77777777" w:rsidR="00836724" w:rsidRDefault="00000000">
            <w:pPr>
              <w:pStyle w:val="ListParagraph"/>
              <w:numPr>
                <w:ilvl w:val="0"/>
                <w:numId w:val="4"/>
              </w:numPr>
              <w:spacing w:after="50" w:line="248" w:lineRule="auto"/>
            </w:pPr>
            <w:r>
              <w:rPr>
                <w:b/>
                <w:bCs/>
              </w:rPr>
              <w:t>Visual loss or amaurosis fugax = ophthalmic emergency</w:t>
            </w:r>
            <w:r>
              <w:t xml:space="preserve"> — specialists may give IV methylprednisolone.</w:t>
            </w:r>
          </w:p>
          <w:p w14:paraId="29917689" w14:textId="77777777" w:rsidR="00836724" w:rsidRDefault="00000000">
            <w:pPr>
              <w:pStyle w:val="ListParagraph"/>
              <w:numPr>
                <w:ilvl w:val="0"/>
                <w:numId w:val="4"/>
              </w:numPr>
              <w:spacing w:line="248" w:lineRule="auto"/>
            </w:pPr>
            <w:r>
              <w:rPr>
                <w:b/>
                <w:bCs/>
              </w:rPr>
              <w:t>Routine low-dose aspirin is no longer recommended</w:t>
            </w:r>
            <w:r>
              <w:t xml:space="preserve"> (older teaching). The priority is steroids plus urgent referral; continue aspirin only if separately indicated.</w:t>
            </w:r>
          </w:p>
        </w:tc>
      </w:tr>
    </w:tbl>
    <w:p w14:paraId="78E1D92A" w14:textId="77777777" w:rsidR="00836724" w:rsidRDefault="00000000">
      <w:pPr>
        <w:keepNext/>
        <w:keepLines/>
        <w:spacing w:before="200" w:after="90" w:line="252" w:lineRule="auto"/>
      </w:pPr>
      <w:r>
        <w:rPr>
          <w:color w:val="8A4FA0"/>
          <w:sz w:val="24"/>
          <w:szCs w:val="24"/>
        </w:rPr>
        <w:t>▍</w:t>
      </w:r>
      <w:r>
        <w:rPr>
          <w:b/>
          <w:bCs/>
          <w:color w:val="21303D"/>
          <w:sz w:val="23"/>
          <w:szCs w:val="23"/>
        </w:rPr>
        <w:t xml:space="preserve"> After specialist </w:t>
      </w:r>
      <w:proofErr w:type="gramStart"/>
      <w:r>
        <w:rPr>
          <w:b/>
          <w:bCs/>
          <w:color w:val="21303D"/>
          <w:sz w:val="23"/>
          <w:szCs w:val="23"/>
        </w:rPr>
        <w:t>assessment  ·</w:t>
      </w:r>
      <w:proofErr w:type="gramEnd"/>
      <w:r>
        <w:rPr>
          <w:b/>
          <w:bCs/>
          <w:color w:val="21303D"/>
          <w:sz w:val="23"/>
          <w:szCs w:val="23"/>
        </w:rPr>
        <w:t xml:space="preserve">  Tapering</w:t>
      </w:r>
    </w:p>
    <w:p w14:paraId="0B5516A6" w14:textId="77777777" w:rsidR="00836724" w:rsidRDefault="00000000">
      <w:pPr>
        <w:spacing w:after="60" w:line="264" w:lineRule="auto"/>
      </w:pPr>
      <w:r>
        <w:t>Stay on the high dose until symptoms and the ESR/CRP have settled (usually 4+ weeks), then taper:</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0"/>
        <w:gridCol w:w="4546"/>
      </w:tblGrid>
      <w:tr w:rsidR="00836724" w14:paraId="29680358" w14:textId="77777777">
        <w:tblPrEx>
          <w:tblCellMar>
            <w:top w:w="0" w:type="dxa"/>
            <w:bottom w:w="0" w:type="dxa"/>
          </w:tblCellMar>
        </w:tblPrEx>
        <w:trPr>
          <w:cantSplit/>
          <w:tblHeader/>
        </w:trPr>
        <w:tc>
          <w:tcPr>
            <w:tcW w:w="5200" w:type="dxa"/>
            <w:tcBorders>
              <w:top w:val="single" w:sz="4" w:space="0" w:color="8A4FA0"/>
              <w:left w:val="single" w:sz="4" w:space="0" w:color="8A4FA0"/>
              <w:bottom w:val="single" w:sz="4" w:space="0" w:color="8A4FA0"/>
              <w:right w:val="single" w:sz="4" w:space="0" w:color="8A4FA0"/>
            </w:tcBorders>
            <w:shd w:val="clear" w:color="auto" w:fill="8A4FA0"/>
            <w:tcMar>
              <w:top w:w="60" w:type="dxa"/>
              <w:left w:w="130" w:type="dxa"/>
              <w:bottom w:w="60" w:type="dxa"/>
              <w:right w:w="110" w:type="dxa"/>
            </w:tcMar>
            <w:vAlign w:val="center"/>
          </w:tcPr>
          <w:p w14:paraId="5A52917B" w14:textId="77777777" w:rsidR="00836724" w:rsidRDefault="00000000">
            <w:pPr>
              <w:spacing w:line="248" w:lineRule="auto"/>
            </w:pPr>
            <w:r>
              <w:rPr>
                <w:b/>
                <w:bCs/>
                <w:color w:val="FFFFFF"/>
                <w:sz w:val="20"/>
                <w:szCs w:val="20"/>
              </w:rPr>
              <w:t>Stage</w:t>
            </w:r>
          </w:p>
        </w:tc>
        <w:tc>
          <w:tcPr>
            <w:tcW w:w="4546" w:type="dxa"/>
            <w:tcBorders>
              <w:top w:val="single" w:sz="4" w:space="0" w:color="8A4FA0"/>
              <w:left w:val="single" w:sz="4" w:space="0" w:color="8A4FA0"/>
              <w:bottom w:val="single" w:sz="4" w:space="0" w:color="8A4FA0"/>
              <w:right w:val="single" w:sz="4" w:space="0" w:color="8A4FA0"/>
            </w:tcBorders>
            <w:shd w:val="clear" w:color="auto" w:fill="8A4FA0"/>
            <w:tcMar>
              <w:top w:w="60" w:type="dxa"/>
              <w:left w:w="130" w:type="dxa"/>
              <w:bottom w:w="60" w:type="dxa"/>
              <w:right w:w="110" w:type="dxa"/>
            </w:tcMar>
            <w:vAlign w:val="center"/>
          </w:tcPr>
          <w:p w14:paraId="2CA3F7D9" w14:textId="77777777" w:rsidR="00836724" w:rsidRDefault="00000000">
            <w:pPr>
              <w:spacing w:line="248" w:lineRule="auto"/>
            </w:pPr>
            <w:r>
              <w:rPr>
                <w:b/>
                <w:bCs/>
                <w:color w:val="FFFFFF"/>
                <w:sz w:val="20"/>
                <w:szCs w:val="20"/>
              </w:rPr>
              <w:t>Reduction</w:t>
            </w:r>
          </w:p>
        </w:tc>
      </w:tr>
      <w:tr w:rsidR="00836724" w14:paraId="5B32BF89"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65513B3" w14:textId="77777777" w:rsidR="00836724" w:rsidRDefault="00000000">
            <w:pPr>
              <w:spacing w:line="248" w:lineRule="auto"/>
            </w:pPr>
            <w:r>
              <w:rPr>
                <w:sz w:val="20"/>
                <w:szCs w:val="20"/>
              </w:rPr>
              <w:t>Down to 20 mg</w:t>
            </w:r>
          </w:p>
        </w:tc>
        <w:tc>
          <w:tcPr>
            <w:tcW w:w="4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8E16D80" w14:textId="77777777" w:rsidR="00836724" w:rsidRDefault="00000000">
            <w:pPr>
              <w:spacing w:line="248" w:lineRule="auto"/>
            </w:pPr>
            <w:r>
              <w:rPr>
                <w:sz w:val="20"/>
                <w:szCs w:val="20"/>
              </w:rPr>
              <w:t>Reduce 10 mg every 2 weeks</w:t>
            </w:r>
          </w:p>
        </w:tc>
      </w:tr>
      <w:tr w:rsidR="00836724" w14:paraId="6C0D9C03"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4EAC429" w14:textId="77777777" w:rsidR="00836724" w:rsidRDefault="00000000">
            <w:pPr>
              <w:spacing w:line="248" w:lineRule="auto"/>
            </w:pPr>
            <w:r>
              <w:rPr>
                <w:sz w:val="20"/>
                <w:szCs w:val="20"/>
              </w:rPr>
              <w:t>20 mg → 10 mg</w:t>
            </w:r>
          </w:p>
        </w:tc>
        <w:tc>
          <w:tcPr>
            <w:tcW w:w="4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D74271E" w14:textId="77777777" w:rsidR="00836724" w:rsidRDefault="00000000">
            <w:pPr>
              <w:spacing w:line="248" w:lineRule="auto"/>
            </w:pPr>
            <w:r>
              <w:rPr>
                <w:sz w:val="20"/>
                <w:szCs w:val="20"/>
              </w:rPr>
              <w:t>Reduce 2.5 mg every 2–4 weeks</w:t>
            </w:r>
          </w:p>
        </w:tc>
      </w:tr>
      <w:tr w:rsidR="00836724" w14:paraId="0D0241C1"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1271181" w14:textId="77777777" w:rsidR="00836724" w:rsidRDefault="00000000">
            <w:pPr>
              <w:spacing w:line="248" w:lineRule="auto"/>
            </w:pPr>
            <w:r>
              <w:rPr>
                <w:sz w:val="20"/>
                <w:szCs w:val="20"/>
              </w:rPr>
              <w:t>Below 10 mg</w:t>
            </w:r>
          </w:p>
        </w:tc>
        <w:tc>
          <w:tcPr>
            <w:tcW w:w="4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2D769CA" w14:textId="77777777" w:rsidR="00836724" w:rsidRDefault="00000000">
            <w:pPr>
              <w:spacing w:line="248" w:lineRule="auto"/>
            </w:pPr>
            <w:r>
              <w:rPr>
                <w:sz w:val="20"/>
                <w:szCs w:val="20"/>
              </w:rPr>
              <w:t>Reduce 1 mg every 1–2 months</w:t>
            </w:r>
          </w:p>
        </w:tc>
      </w:tr>
      <w:tr w:rsidR="00836724" w14:paraId="56A9C205" w14:textId="77777777">
        <w:tblPrEx>
          <w:tblCellMar>
            <w:top w:w="0" w:type="dxa"/>
            <w:bottom w:w="0" w:type="dxa"/>
          </w:tblCellMar>
        </w:tblPrEx>
        <w:trPr>
          <w:cantSplit/>
        </w:trPr>
        <w:tc>
          <w:tcPr>
            <w:tcW w:w="5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2AA134A6" w14:textId="77777777" w:rsidR="00836724" w:rsidRDefault="00000000">
            <w:pPr>
              <w:spacing w:line="248" w:lineRule="auto"/>
            </w:pPr>
            <w:r>
              <w:rPr>
                <w:sz w:val="20"/>
                <w:szCs w:val="20"/>
              </w:rPr>
              <w:t>If symptoms relapse</w:t>
            </w:r>
          </w:p>
        </w:tc>
        <w:tc>
          <w:tcPr>
            <w:tcW w:w="4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56D8C3D" w14:textId="77777777" w:rsidR="00836724" w:rsidRDefault="00000000">
            <w:pPr>
              <w:spacing w:line="248" w:lineRule="auto"/>
            </w:pPr>
            <w:r>
              <w:rPr>
                <w:sz w:val="20"/>
                <w:szCs w:val="20"/>
              </w:rPr>
              <w:t>Push the dose back up</w:t>
            </w:r>
          </w:p>
        </w:tc>
      </w:tr>
    </w:tbl>
    <w:p w14:paraId="49852D0E" w14:textId="77777777" w:rsidR="00836724" w:rsidRDefault="00000000">
      <w:pPr>
        <w:pStyle w:val="ListParagraph"/>
        <w:numPr>
          <w:ilvl w:val="0"/>
          <w:numId w:val="2"/>
        </w:numPr>
        <w:spacing w:after="40" w:line="252" w:lineRule="auto"/>
      </w:pPr>
      <w:r>
        <w:rPr>
          <w:b/>
          <w:bCs/>
        </w:rPr>
        <w:t>Start bone protection at the same time as the steroid.</w:t>
      </w:r>
    </w:p>
    <w:p w14:paraId="151E59DD" w14:textId="77777777" w:rsidR="00836724" w:rsidRDefault="00000000">
      <w:pPr>
        <w:pStyle w:val="ListParagraph"/>
        <w:numPr>
          <w:ilvl w:val="0"/>
          <w:numId w:val="2"/>
        </w:numPr>
        <w:spacing w:after="60" w:line="252" w:lineRule="auto"/>
      </w:pPr>
      <w:r>
        <w:rPr>
          <w:b/>
          <w:bCs/>
        </w:rPr>
        <w:t xml:space="preserve">Treatment usually lasts 12–18 months. </w:t>
      </w:r>
      <w:r>
        <w:t>If steroids cannot be stopped, refer for a steroid-sparing agent (e.g. methotrexate or tocilizumab).</w:t>
      </w:r>
    </w:p>
    <w:tbl>
      <w:tblPr>
        <w:tblW w:w="9746" w:type="dxa"/>
        <w:tblBorders>
          <w:top w:val="single" w:sz="2" w:space="0" w:color="E08600"/>
          <w:left w:val="single" w:sz="28" w:space="0" w:color="E08600"/>
          <w:bottom w:val="single" w:sz="2" w:space="0" w:color="E08600"/>
          <w:right w:val="single" w:sz="2" w:space="0" w:color="E08600"/>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836724" w14:paraId="0B9920D3" w14:textId="77777777">
        <w:tblPrEx>
          <w:tblCellMar>
            <w:top w:w="0" w:type="dxa"/>
            <w:bottom w:w="0" w:type="dxa"/>
          </w:tblCellMar>
        </w:tblPrEx>
        <w:trPr>
          <w:cantSplit/>
        </w:trPr>
        <w:tc>
          <w:tcPr>
            <w:tcW w:w="9746" w:type="dxa"/>
            <w:shd w:val="clear" w:color="auto" w:fill="FEF4E2"/>
            <w:tcMar>
              <w:top w:w="110" w:type="dxa"/>
              <w:left w:w="200" w:type="dxa"/>
              <w:bottom w:w="110" w:type="dxa"/>
              <w:right w:w="160" w:type="dxa"/>
            </w:tcMar>
          </w:tcPr>
          <w:p w14:paraId="486A3CB7" w14:textId="77777777" w:rsidR="00836724" w:rsidRDefault="00000000">
            <w:pPr>
              <w:spacing w:after="70" w:line="248" w:lineRule="auto"/>
            </w:pPr>
            <w:proofErr w:type="gramStart"/>
            <w:r>
              <w:rPr>
                <w:b/>
                <w:bCs/>
                <w:color w:val="9A5B00"/>
              </w:rPr>
              <w:t>◆  Two</w:t>
            </w:r>
            <w:proofErr w:type="gramEnd"/>
            <w:r>
              <w:rPr>
                <w:b/>
                <w:bCs/>
                <w:color w:val="9A5B00"/>
              </w:rPr>
              <w:t xml:space="preserve"> things not to forget</w:t>
            </w:r>
          </w:p>
          <w:p w14:paraId="2EA8129F" w14:textId="77777777" w:rsidR="00836724" w:rsidRDefault="00000000">
            <w:pPr>
              <w:pStyle w:val="ListParagraph"/>
              <w:numPr>
                <w:ilvl w:val="0"/>
                <w:numId w:val="5"/>
              </w:numPr>
              <w:spacing w:after="50" w:line="248" w:lineRule="auto"/>
            </w:pPr>
            <w:r>
              <w:rPr>
                <w:b/>
                <w:bCs/>
              </w:rPr>
              <w:t xml:space="preserve">Persistent shoulder pain in PMR </w:t>
            </w:r>
            <w:r>
              <w:t>may be co-existing subacromial bursitis.</w:t>
            </w:r>
          </w:p>
          <w:p w14:paraId="00DF24F3" w14:textId="77777777" w:rsidR="00836724" w:rsidRDefault="00000000">
            <w:pPr>
              <w:pStyle w:val="ListParagraph"/>
              <w:numPr>
                <w:ilvl w:val="0"/>
                <w:numId w:val="5"/>
              </w:numPr>
              <w:spacing w:line="248" w:lineRule="auto"/>
            </w:pPr>
            <w:r>
              <w:rPr>
                <w:b/>
                <w:bCs/>
              </w:rPr>
              <w:t>GCA develops in a minority of PMR patients</w:t>
            </w:r>
            <w:r>
              <w:t xml:space="preserve"> — stay vigilant at every review, because even low PMR steroid doses can mask early GCA.</w:t>
            </w:r>
          </w:p>
        </w:tc>
      </w:tr>
      <w:tr w:rsidR="00836724" w14:paraId="3144F117"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cantSplit/>
        </w:trPr>
        <w:tc>
          <w:tcPr>
            <w:tcW w:w="9746" w:type="dxa"/>
            <w:shd w:val="clear" w:color="auto" w:fill="F1EAF8"/>
            <w:tcMar>
              <w:top w:w="110" w:type="dxa"/>
              <w:left w:w="200" w:type="dxa"/>
              <w:bottom w:w="110" w:type="dxa"/>
              <w:right w:w="160" w:type="dxa"/>
            </w:tcMar>
          </w:tcPr>
          <w:p w14:paraId="0C8CE804" w14:textId="77777777" w:rsidR="00836724" w:rsidRPr="00997EF6" w:rsidRDefault="00000000">
            <w:pPr>
              <w:spacing w:after="70" w:line="248" w:lineRule="auto"/>
              <w:rPr>
                <w:sz w:val="18"/>
                <w:szCs w:val="18"/>
              </w:rPr>
            </w:pPr>
            <w:proofErr w:type="gramStart"/>
            <w:r w:rsidRPr="00997EF6">
              <w:rPr>
                <w:b/>
                <w:bCs/>
                <w:color w:val="5E3A82"/>
                <w:sz w:val="18"/>
                <w:szCs w:val="18"/>
              </w:rPr>
              <w:t>■  Disclaimer</w:t>
            </w:r>
            <w:proofErr w:type="gramEnd"/>
            <w:r w:rsidRPr="00997EF6">
              <w:rPr>
                <w:b/>
                <w:bCs/>
                <w:color w:val="5E3A82"/>
                <w:sz w:val="18"/>
                <w:szCs w:val="18"/>
              </w:rPr>
              <w:t xml:space="preserve"> &amp; verification</w:t>
            </w:r>
          </w:p>
          <w:p w14:paraId="14ADAAA0" w14:textId="77777777" w:rsidR="00836724" w:rsidRPr="00997EF6" w:rsidRDefault="00000000">
            <w:pPr>
              <w:spacing w:after="60" w:line="252" w:lineRule="auto"/>
              <w:rPr>
                <w:sz w:val="18"/>
                <w:szCs w:val="18"/>
              </w:rPr>
            </w:pPr>
            <w:r w:rsidRPr="00997EF6">
              <w:rPr>
                <w:b/>
                <w:bCs/>
                <w:color w:val="5E3A82"/>
                <w:sz w:val="18"/>
                <w:szCs w:val="18"/>
              </w:rPr>
              <w:t xml:space="preserve">Key sources used for this update: </w:t>
            </w:r>
            <w:r w:rsidRPr="00997EF6">
              <w:rPr>
                <w:sz w:val="18"/>
                <w:szCs w:val="18"/>
              </w:rPr>
              <w:t>NICE CKS Polymyalgia rheumatica and Giant cell arteritis; BSR guidelines on PMR and GCA; BNF (prednisolone). Always check the BNF/SPC for doses.</w:t>
            </w:r>
          </w:p>
          <w:p w14:paraId="65776AB1" w14:textId="77777777" w:rsidR="00836724" w:rsidRDefault="00000000">
            <w:pPr>
              <w:spacing w:line="252" w:lineRule="auto"/>
            </w:pPr>
            <w:r w:rsidRPr="00997EF6">
              <w:rPr>
                <w:sz w:val="18"/>
                <w:szCs w:val="18"/>
              </w:rP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3CE1C6FD" w14:textId="77777777" w:rsidR="00100E14" w:rsidRDefault="00100E14"/>
    <w:sectPr w:rsidR="00100E14">
      <w:footerReference w:type="default" r:id="rId7"/>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121D9" w14:textId="77777777" w:rsidR="00100E14" w:rsidRDefault="00100E14">
      <w:r>
        <w:separator/>
      </w:r>
    </w:p>
  </w:endnote>
  <w:endnote w:type="continuationSeparator" w:id="0">
    <w:p w14:paraId="7F59F615" w14:textId="77777777" w:rsidR="00100E14" w:rsidRDefault="00100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8C3BF" w14:textId="77777777" w:rsidR="00836724" w:rsidRDefault="00836724">
    <w:pPr>
      <w:pBdr>
        <w:top w:val="single" w:sz="8" w:space="4" w:color="E2661A"/>
      </w:pBdr>
      <w:spacing w:before="40" w:after="20"/>
    </w:pPr>
  </w:p>
  <w:p w14:paraId="3F6A2DAF" w14:textId="77777777" w:rsidR="00836724" w:rsidRDefault="00000000">
    <w:pPr>
      <w:tabs>
        <w:tab w:val="right" w:pos="9746"/>
      </w:tabs>
      <w:spacing w:line="224" w:lineRule="auto"/>
    </w:pPr>
    <w:r>
      <w:rPr>
        <w:i/>
        <w:iCs/>
        <w:color w:val="5A636E"/>
        <w:sz w:val="14"/>
        <w:szCs w:val="14"/>
      </w:rPr>
      <w:t>PMR &amp; GCA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997EF6">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3995E" w14:textId="77777777" w:rsidR="00100E14" w:rsidRDefault="00100E14">
      <w:r>
        <w:separator/>
      </w:r>
    </w:p>
  </w:footnote>
  <w:footnote w:type="continuationSeparator" w:id="0">
    <w:p w14:paraId="1BFE97CA" w14:textId="77777777" w:rsidR="00100E14" w:rsidRDefault="00100E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1B28"/>
    <w:multiLevelType w:val="hybridMultilevel"/>
    <w:tmpl w:val="0262D5AA"/>
    <w:lvl w:ilvl="0" w:tplc="975E91AE">
      <w:start w:val="1"/>
      <w:numFmt w:val="bullet"/>
      <w:lvlText w:val="•"/>
      <w:lvlJc w:val="left"/>
      <w:pPr>
        <w:ind w:left="320" w:hanging="210"/>
      </w:pPr>
      <w:rPr>
        <w:color w:val="E08600"/>
      </w:rPr>
    </w:lvl>
    <w:lvl w:ilvl="1" w:tplc="2A463F28">
      <w:numFmt w:val="decimal"/>
      <w:lvlText w:val=""/>
      <w:lvlJc w:val="left"/>
    </w:lvl>
    <w:lvl w:ilvl="2" w:tplc="50264958">
      <w:numFmt w:val="decimal"/>
      <w:lvlText w:val=""/>
      <w:lvlJc w:val="left"/>
    </w:lvl>
    <w:lvl w:ilvl="3" w:tplc="3C107C4C">
      <w:numFmt w:val="decimal"/>
      <w:lvlText w:val=""/>
      <w:lvlJc w:val="left"/>
    </w:lvl>
    <w:lvl w:ilvl="4" w:tplc="D67CF412">
      <w:numFmt w:val="decimal"/>
      <w:lvlText w:val=""/>
      <w:lvlJc w:val="left"/>
    </w:lvl>
    <w:lvl w:ilvl="5" w:tplc="FB64F32A">
      <w:numFmt w:val="decimal"/>
      <w:lvlText w:val=""/>
      <w:lvlJc w:val="left"/>
    </w:lvl>
    <w:lvl w:ilvl="6" w:tplc="58366536">
      <w:numFmt w:val="decimal"/>
      <w:lvlText w:val=""/>
      <w:lvlJc w:val="left"/>
    </w:lvl>
    <w:lvl w:ilvl="7" w:tplc="1DA213C8">
      <w:numFmt w:val="decimal"/>
      <w:lvlText w:val=""/>
      <w:lvlJc w:val="left"/>
    </w:lvl>
    <w:lvl w:ilvl="8" w:tplc="5BD2E5AA">
      <w:numFmt w:val="decimal"/>
      <w:lvlText w:val=""/>
      <w:lvlJc w:val="left"/>
    </w:lvl>
  </w:abstractNum>
  <w:abstractNum w:abstractNumId="1" w15:restartNumberingAfterBreak="0">
    <w:nsid w:val="1523269C"/>
    <w:multiLevelType w:val="hybridMultilevel"/>
    <w:tmpl w:val="D7323A14"/>
    <w:lvl w:ilvl="0" w:tplc="646AA836">
      <w:start w:val="1"/>
      <w:numFmt w:val="bullet"/>
      <w:lvlText w:val="•"/>
      <w:lvlJc w:val="left"/>
      <w:pPr>
        <w:ind w:left="360" w:hanging="220"/>
      </w:pPr>
      <w:rPr>
        <w:color w:val="E2661A"/>
      </w:rPr>
    </w:lvl>
    <w:lvl w:ilvl="1" w:tplc="CA6E86AE">
      <w:start w:val="1"/>
      <w:numFmt w:val="bullet"/>
      <w:lvlText w:val="–"/>
      <w:lvlJc w:val="left"/>
      <w:pPr>
        <w:ind w:left="720" w:hanging="220"/>
      </w:pPr>
      <w:rPr>
        <w:color w:val="5A636E"/>
      </w:rPr>
    </w:lvl>
    <w:lvl w:ilvl="2" w:tplc="2872EAEE">
      <w:numFmt w:val="decimal"/>
      <w:lvlText w:val=""/>
      <w:lvlJc w:val="left"/>
    </w:lvl>
    <w:lvl w:ilvl="3" w:tplc="466894B2">
      <w:numFmt w:val="decimal"/>
      <w:lvlText w:val=""/>
      <w:lvlJc w:val="left"/>
    </w:lvl>
    <w:lvl w:ilvl="4" w:tplc="FB28AFF2">
      <w:numFmt w:val="decimal"/>
      <w:lvlText w:val=""/>
      <w:lvlJc w:val="left"/>
    </w:lvl>
    <w:lvl w:ilvl="5" w:tplc="856E6D16">
      <w:numFmt w:val="decimal"/>
      <w:lvlText w:val=""/>
      <w:lvlJc w:val="left"/>
    </w:lvl>
    <w:lvl w:ilvl="6" w:tplc="64E4E298">
      <w:numFmt w:val="decimal"/>
      <w:lvlText w:val=""/>
      <w:lvlJc w:val="left"/>
    </w:lvl>
    <w:lvl w:ilvl="7" w:tplc="6A76C118">
      <w:numFmt w:val="decimal"/>
      <w:lvlText w:val=""/>
      <w:lvlJc w:val="left"/>
    </w:lvl>
    <w:lvl w:ilvl="8" w:tplc="623AEA0E">
      <w:numFmt w:val="decimal"/>
      <w:lvlText w:val=""/>
      <w:lvlJc w:val="left"/>
    </w:lvl>
  </w:abstractNum>
  <w:abstractNum w:abstractNumId="2" w15:restartNumberingAfterBreak="0">
    <w:nsid w:val="1E780BAF"/>
    <w:multiLevelType w:val="hybridMultilevel"/>
    <w:tmpl w:val="E3302614"/>
    <w:lvl w:ilvl="0" w:tplc="2CFC07E4">
      <w:start w:val="1"/>
      <w:numFmt w:val="bullet"/>
      <w:lvlText w:val="•"/>
      <w:lvlJc w:val="left"/>
      <w:pPr>
        <w:ind w:left="320" w:hanging="210"/>
      </w:pPr>
      <w:rPr>
        <w:color w:val="2EA057"/>
      </w:rPr>
    </w:lvl>
    <w:lvl w:ilvl="1" w:tplc="2B409B7A">
      <w:numFmt w:val="decimal"/>
      <w:lvlText w:val=""/>
      <w:lvlJc w:val="left"/>
    </w:lvl>
    <w:lvl w:ilvl="2" w:tplc="22A0CCC4">
      <w:numFmt w:val="decimal"/>
      <w:lvlText w:val=""/>
      <w:lvlJc w:val="left"/>
    </w:lvl>
    <w:lvl w:ilvl="3" w:tplc="F730B180">
      <w:numFmt w:val="decimal"/>
      <w:lvlText w:val=""/>
      <w:lvlJc w:val="left"/>
    </w:lvl>
    <w:lvl w:ilvl="4" w:tplc="2DC8BDEA">
      <w:numFmt w:val="decimal"/>
      <w:lvlText w:val=""/>
      <w:lvlJc w:val="left"/>
    </w:lvl>
    <w:lvl w:ilvl="5" w:tplc="7272EBB2">
      <w:numFmt w:val="decimal"/>
      <w:lvlText w:val=""/>
      <w:lvlJc w:val="left"/>
    </w:lvl>
    <w:lvl w:ilvl="6" w:tplc="AA6A1C4A">
      <w:numFmt w:val="decimal"/>
      <w:lvlText w:val=""/>
      <w:lvlJc w:val="left"/>
    </w:lvl>
    <w:lvl w:ilvl="7" w:tplc="C032EC92">
      <w:numFmt w:val="decimal"/>
      <w:lvlText w:val=""/>
      <w:lvlJc w:val="left"/>
    </w:lvl>
    <w:lvl w:ilvl="8" w:tplc="26504570">
      <w:numFmt w:val="decimal"/>
      <w:lvlText w:val=""/>
      <w:lvlJc w:val="left"/>
    </w:lvl>
  </w:abstractNum>
  <w:abstractNum w:abstractNumId="3" w15:restartNumberingAfterBreak="0">
    <w:nsid w:val="49691110"/>
    <w:multiLevelType w:val="hybridMultilevel"/>
    <w:tmpl w:val="9DA4334C"/>
    <w:lvl w:ilvl="0" w:tplc="4E1E4142">
      <w:start w:val="1"/>
      <w:numFmt w:val="bullet"/>
      <w:lvlText w:val="•"/>
      <w:lvlJc w:val="left"/>
      <w:pPr>
        <w:ind w:left="320" w:hanging="210"/>
      </w:pPr>
      <w:rPr>
        <w:color w:val="2E75B6"/>
      </w:rPr>
    </w:lvl>
    <w:lvl w:ilvl="1" w:tplc="064A7E52">
      <w:numFmt w:val="decimal"/>
      <w:lvlText w:val=""/>
      <w:lvlJc w:val="left"/>
    </w:lvl>
    <w:lvl w:ilvl="2" w:tplc="6FCC4E9E">
      <w:numFmt w:val="decimal"/>
      <w:lvlText w:val=""/>
      <w:lvlJc w:val="left"/>
    </w:lvl>
    <w:lvl w:ilvl="3" w:tplc="81065F48">
      <w:numFmt w:val="decimal"/>
      <w:lvlText w:val=""/>
      <w:lvlJc w:val="left"/>
    </w:lvl>
    <w:lvl w:ilvl="4" w:tplc="E95E7EDC">
      <w:numFmt w:val="decimal"/>
      <w:lvlText w:val=""/>
      <w:lvlJc w:val="left"/>
    </w:lvl>
    <w:lvl w:ilvl="5" w:tplc="3A7C0466">
      <w:numFmt w:val="decimal"/>
      <w:lvlText w:val=""/>
      <w:lvlJc w:val="left"/>
    </w:lvl>
    <w:lvl w:ilvl="6" w:tplc="3E3045B8">
      <w:numFmt w:val="decimal"/>
      <w:lvlText w:val=""/>
      <w:lvlJc w:val="left"/>
    </w:lvl>
    <w:lvl w:ilvl="7" w:tplc="208A9214">
      <w:numFmt w:val="decimal"/>
      <w:lvlText w:val=""/>
      <w:lvlJc w:val="left"/>
    </w:lvl>
    <w:lvl w:ilvl="8" w:tplc="A59A8F60">
      <w:numFmt w:val="decimal"/>
      <w:lvlText w:val=""/>
      <w:lvlJc w:val="left"/>
    </w:lvl>
  </w:abstractNum>
  <w:abstractNum w:abstractNumId="4" w15:restartNumberingAfterBreak="0">
    <w:nsid w:val="551D7A2C"/>
    <w:multiLevelType w:val="hybridMultilevel"/>
    <w:tmpl w:val="8F202BCA"/>
    <w:lvl w:ilvl="0" w:tplc="500C5320">
      <w:start w:val="1"/>
      <w:numFmt w:val="decimal"/>
      <w:lvlText w:val="%1."/>
      <w:lvlJc w:val="left"/>
      <w:pPr>
        <w:ind w:left="380" w:hanging="250"/>
      </w:pPr>
      <w:rPr>
        <w:b/>
        <w:bCs/>
        <w:color w:val="C0530F"/>
      </w:rPr>
    </w:lvl>
    <w:lvl w:ilvl="1" w:tplc="5778F2E6">
      <w:numFmt w:val="decimal"/>
      <w:lvlText w:val=""/>
      <w:lvlJc w:val="left"/>
    </w:lvl>
    <w:lvl w:ilvl="2" w:tplc="1DCA1600">
      <w:numFmt w:val="decimal"/>
      <w:lvlText w:val=""/>
      <w:lvlJc w:val="left"/>
    </w:lvl>
    <w:lvl w:ilvl="3" w:tplc="7F4CF574">
      <w:numFmt w:val="decimal"/>
      <w:lvlText w:val=""/>
      <w:lvlJc w:val="left"/>
    </w:lvl>
    <w:lvl w:ilvl="4" w:tplc="1FFC83D2">
      <w:numFmt w:val="decimal"/>
      <w:lvlText w:val=""/>
      <w:lvlJc w:val="left"/>
    </w:lvl>
    <w:lvl w:ilvl="5" w:tplc="76EA5962">
      <w:numFmt w:val="decimal"/>
      <w:lvlText w:val=""/>
      <w:lvlJc w:val="left"/>
    </w:lvl>
    <w:lvl w:ilvl="6" w:tplc="85B283A2">
      <w:numFmt w:val="decimal"/>
      <w:lvlText w:val=""/>
      <w:lvlJc w:val="left"/>
    </w:lvl>
    <w:lvl w:ilvl="7" w:tplc="7C729D7C">
      <w:numFmt w:val="decimal"/>
      <w:lvlText w:val=""/>
      <w:lvlJc w:val="left"/>
    </w:lvl>
    <w:lvl w:ilvl="8" w:tplc="1F10EB74">
      <w:numFmt w:val="decimal"/>
      <w:lvlText w:val=""/>
      <w:lvlJc w:val="left"/>
    </w:lvl>
  </w:abstractNum>
  <w:abstractNum w:abstractNumId="5" w15:restartNumberingAfterBreak="0">
    <w:nsid w:val="589C1987"/>
    <w:multiLevelType w:val="hybridMultilevel"/>
    <w:tmpl w:val="E804A008"/>
    <w:lvl w:ilvl="0" w:tplc="E4C8804C">
      <w:start w:val="1"/>
      <w:numFmt w:val="decimal"/>
      <w:lvlText w:val="%1."/>
      <w:lvlJc w:val="left"/>
      <w:pPr>
        <w:ind w:left="380" w:hanging="250"/>
      </w:pPr>
      <w:rPr>
        <w:b/>
        <w:bCs/>
        <w:color w:val="C0530F"/>
      </w:rPr>
    </w:lvl>
    <w:lvl w:ilvl="1" w:tplc="41BE649C">
      <w:numFmt w:val="decimal"/>
      <w:lvlText w:val=""/>
      <w:lvlJc w:val="left"/>
    </w:lvl>
    <w:lvl w:ilvl="2" w:tplc="15E4282E">
      <w:numFmt w:val="decimal"/>
      <w:lvlText w:val=""/>
      <w:lvlJc w:val="left"/>
    </w:lvl>
    <w:lvl w:ilvl="3" w:tplc="B4C6C198">
      <w:numFmt w:val="decimal"/>
      <w:lvlText w:val=""/>
      <w:lvlJc w:val="left"/>
    </w:lvl>
    <w:lvl w:ilvl="4" w:tplc="55643EEE">
      <w:numFmt w:val="decimal"/>
      <w:lvlText w:val=""/>
      <w:lvlJc w:val="left"/>
    </w:lvl>
    <w:lvl w:ilvl="5" w:tplc="BD867566">
      <w:numFmt w:val="decimal"/>
      <w:lvlText w:val=""/>
      <w:lvlJc w:val="left"/>
    </w:lvl>
    <w:lvl w:ilvl="6" w:tplc="57DAB7E2">
      <w:numFmt w:val="decimal"/>
      <w:lvlText w:val=""/>
      <w:lvlJc w:val="left"/>
    </w:lvl>
    <w:lvl w:ilvl="7" w:tplc="ED2C43BA">
      <w:numFmt w:val="decimal"/>
      <w:lvlText w:val=""/>
      <w:lvlJc w:val="left"/>
    </w:lvl>
    <w:lvl w:ilvl="8" w:tplc="CD1C3E9A">
      <w:numFmt w:val="decimal"/>
      <w:lvlText w:val=""/>
      <w:lvlJc w:val="left"/>
    </w:lvl>
  </w:abstractNum>
  <w:abstractNum w:abstractNumId="6" w15:restartNumberingAfterBreak="0">
    <w:nsid w:val="62215E17"/>
    <w:multiLevelType w:val="hybridMultilevel"/>
    <w:tmpl w:val="DB5AB7E0"/>
    <w:lvl w:ilvl="0" w:tplc="883E3D0C">
      <w:start w:val="1"/>
      <w:numFmt w:val="bullet"/>
      <w:lvlText w:val="•"/>
      <w:lvlJc w:val="left"/>
      <w:pPr>
        <w:ind w:left="320" w:hanging="210"/>
      </w:pPr>
      <w:rPr>
        <w:color w:val="D34747"/>
      </w:rPr>
    </w:lvl>
    <w:lvl w:ilvl="1" w:tplc="6ACA46F6">
      <w:numFmt w:val="decimal"/>
      <w:lvlText w:val=""/>
      <w:lvlJc w:val="left"/>
    </w:lvl>
    <w:lvl w:ilvl="2" w:tplc="D1648EF8">
      <w:numFmt w:val="decimal"/>
      <w:lvlText w:val=""/>
      <w:lvlJc w:val="left"/>
    </w:lvl>
    <w:lvl w:ilvl="3" w:tplc="3CE69570">
      <w:numFmt w:val="decimal"/>
      <w:lvlText w:val=""/>
      <w:lvlJc w:val="left"/>
    </w:lvl>
    <w:lvl w:ilvl="4" w:tplc="7E2A9230">
      <w:numFmt w:val="decimal"/>
      <w:lvlText w:val=""/>
      <w:lvlJc w:val="left"/>
    </w:lvl>
    <w:lvl w:ilvl="5" w:tplc="CA3A8EF2">
      <w:numFmt w:val="decimal"/>
      <w:lvlText w:val=""/>
      <w:lvlJc w:val="left"/>
    </w:lvl>
    <w:lvl w:ilvl="6" w:tplc="867EFC38">
      <w:numFmt w:val="decimal"/>
      <w:lvlText w:val=""/>
      <w:lvlJc w:val="left"/>
    </w:lvl>
    <w:lvl w:ilvl="7" w:tplc="937A5964">
      <w:numFmt w:val="decimal"/>
      <w:lvlText w:val=""/>
      <w:lvlJc w:val="left"/>
    </w:lvl>
    <w:lvl w:ilvl="8" w:tplc="AED6CE88">
      <w:numFmt w:val="decimal"/>
      <w:lvlText w:val=""/>
      <w:lvlJc w:val="left"/>
    </w:lvl>
  </w:abstractNum>
  <w:abstractNum w:abstractNumId="7" w15:restartNumberingAfterBreak="0">
    <w:nsid w:val="63A9279B"/>
    <w:multiLevelType w:val="hybridMultilevel"/>
    <w:tmpl w:val="5E64B454"/>
    <w:lvl w:ilvl="0" w:tplc="72B87586">
      <w:start w:val="1"/>
      <w:numFmt w:val="bullet"/>
      <w:lvlText w:val="•"/>
      <w:lvlJc w:val="left"/>
      <w:pPr>
        <w:ind w:left="320" w:hanging="210"/>
      </w:pPr>
      <w:rPr>
        <w:color w:val="7A4FA3"/>
      </w:rPr>
    </w:lvl>
    <w:lvl w:ilvl="1" w:tplc="2946E19A">
      <w:numFmt w:val="decimal"/>
      <w:lvlText w:val=""/>
      <w:lvlJc w:val="left"/>
    </w:lvl>
    <w:lvl w:ilvl="2" w:tplc="78D28ED4">
      <w:numFmt w:val="decimal"/>
      <w:lvlText w:val=""/>
      <w:lvlJc w:val="left"/>
    </w:lvl>
    <w:lvl w:ilvl="3" w:tplc="BC5EE1FE">
      <w:numFmt w:val="decimal"/>
      <w:lvlText w:val=""/>
      <w:lvlJc w:val="left"/>
    </w:lvl>
    <w:lvl w:ilvl="4" w:tplc="60E00E40">
      <w:numFmt w:val="decimal"/>
      <w:lvlText w:val=""/>
      <w:lvlJc w:val="left"/>
    </w:lvl>
    <w:lvl w:ilvl="5" w:tplc="1A2A3946">
      <w:numFmt w:val="decimal"/>
      <w:lvlText w:val=""/>
      <w:lvlJc w:val="left"/>
    </w:lvl>
    <w:lvl w:ilvl="6" w:tplc="BB86B1BE">
      <w:numFmt w:val="decimal"/>
      <w:lvlText w:val=""/>
      <w:lvlJc w:val="left"/>
    </w:lvl>
    <w:lvl w:ilvl="7" w:tplc="4BFC6B26">
      <w:numFmt w:val="decimal"/>
      <w:lvlText w:val=""/>
      <w:lvlJc w:val="left"/>
    </w:lvl>
    <w:lvl w:ilvl="8" w:tplc="EB8CEC62">
      <w:numFmt w:val="decimal"/>
      <w:lvlText w:val=""/>
      <w:lvlJc w:val="left"/>
    </w:lvl>
  </w:abstractNum>
  <w:abstractNum w:abstractNumId="8" w15:restartNumberingAfterBreak="0">
    <w:nsid w:val="63F45813"/>
    <w:multiLevelType w:val="hybridMultilevel"/>
    <w:tmpl w:val="4D506736"/>
    <w:lvl w:ilvl="0" w:tplc="FDE62EDA">
      <w:start w:val="1"/>
      <w:numFmt w:val="decimal"/>
      <w:lvlText w:val="%1"/>
      <w:lvlJc w:val="center"/>
      <w:pPr>
        <w:ind w:left="380" w:hanging="250"/>
      </w:pPr>
      <w:rPr>
        <w:b/>
        <w:bCs/>
        <w:color w:val="FFFFFF"/>
      </w:rPr>
    </w:lvl>
    <w:lvl w:ilvl="1" w:tplc="EDA446DE">
      <w:numFmt w:val="decimal"/>
      <w:lvlText w:val=""/>
      <w:lvlJc w:val="left"/>
    </w:lvl>
    <w:lvl w:ilvl="2" w:tplc="2E7821A8">
      <w:numFmt w:val="decimal"/>
      <w:lvlText w:val=""/>
      <w:lvlJc w:val="left"/>
    </w:lvl>
    <w:lvl w:ilvl="3" w:tplc="888AA5F4">
      <w:numFmt w:val="decimal"/>
      <w:lvlText w:val=""/>
      <w:lvlJc w:val="left"/>
    </w:lvl>
    <w:lvl w:ilvl="4" w:tplc="2A905EDA">
      <w:numFmt w:val="decimal"/>
      <w:lvlText w:val=""/>
      <w:lvlJc w:val="left"/>
    </w:lvl>
    <w:lvl w:ilvl="5" w:tplc="6B6C8064">
      <w:numFmt w:val="decimal"/>
      <w:lvlText w:val=""/>
      <w:lvlJc w:val="left"/>
    </w:lvl>
    <w:lvl w:ilvl="6" w:tplc="0B1A5564">
      <w:numFmt w:val="decimal"/>
      <w:lvlText w:val=""/>
      <w:lvlJc w:val="left"/>
    </w:lvl>
    <w:lvl w:ilvl="7" w:tplc="72BAC482">
      <w:numFmt w:val="decimal"/>
      <w:lvlText w:val=""/>
      <w:lvlJc w:val="left"/>
    </w:lvl>
    <w:lvl w:ilvl="8" w:tplc="3B848464">
      <w:numFmt w:val="decimal"/>
      <w:lvlText w:val=""/>
      <w:lvlJc w:val="left"/>
    </w:lvl>
  </w:abstractNum>
  <w:abstractNum w:abstractNumId="9" w15:restartNumberingAfterBreak="0">
    <w:nsid w:val="6D774548"/>
    <w:multiLevelType w:val="hybridMultilevel"/>
    <w:tmpl w:val="DADCA3E8"/>
    <w:lvl w:ilvl="0" w:tplc="A4C46A12">
      <w:start w:val="1"/>
      <w:numFmt w:val="bullet"/>
      <w:lvlText w:val="●"/>
      <w:lvlJc w:val="left"/>
      <w:pPr>
        <w:ind w:left="720" w:hanging="360"/>
      </w:pPr>
    </w:lvl>
    <w:lvl w:ilvl="1" w:tplc="8BB42104">
      <w:start w:val="1"/>
      <w:numFmt w:val="bullet"/>
      <w:lvlText w:val="○"/>
      <w:lvlJc w:val="left"/>
      <w:pPr>
        <w:ind w:left="1440" w:hanging="360"/>
      </w:pPr>
    </w:lvl>
    <w:lvl w:ilvl="2" w:tplc="0FA21F06">
      <w:start w:val="1"/>
      <w:numFmt w:val="bullet"/>
      <w:lvlText w:val="■"/>
      <w:lvlJc w:val="left"/>
      <w:pPr>
        <w:ind w:left="2160" w:hanging="360"/>
      </w:pPr>
    </w:lvl>
    <w:lvl w:ilvl="3" w:tplc="6B6A384A">
      <w:start w:val="1"/>
      <w:numFmt w:val="bullet"/>
      <w:lvlText w:val="●"/>
      <w:lvlJc w:val="left"/>
      <w:pPr>
        <w:ind w:left="2880" w:hanging="360"/>
      </w:pPr>
    </w:lvl>
    <w:lvl w:ilvl="4" w:tplc="C6822328">
      <w:start w:val="1"/>
      <w:numFmt w:val="bullet"/>
      <w:lvlText w:val="○"/>
      <w:lvlJc w:val="left"/>
      <w:pPr>
        <w:ind w:left="3600" w:hanging="360"/>
      </w:pPr>
    </w:lvl>
    <w:lvl w:ilvl="5" w:tplc="30C8D750">
      <w:start w:val="1"/>
      <w:numFmt w:val="bullet"/>
      <w:lvlText w:val="■"/>
      <w:lvlJc w:val="left"/>
      <w:pPr>
        <w:ind w:left="4320" w:hanging="360"/>
      </w:pPr>
    </w:lvl>
    <w:lvl w:ilvl="6" w:tplc="D8B63894">
      <w:start w:val="1"/>
      <w:numFmt w:val="bullet"/>
      <w:lvlText w:val="●"/>
      <w:lvlJc w:val="left"/>
      <w:pPr>
        <w:ind w:left="5040" w:hanging="360"/>
      </w:pPr>
    </w:lvl>
    <w:lvl w:ilvl="7" w:tplc="D0EA31AE">
      <w:start w:val="1"/>
      <w:numFmt w:val="bullet"/>
      <w:lvlText w:val="●"/>
      <w:lvlJc w:val="left"/>
      <w:pPr>
        <w:ind w:left="5760" w:hanging="360"/>
      </w:pPr>
    </w:lvl>
    <w:lvl w:ilvl="8" w:tplc="4F640B08">
      <w:start w:val="1"/>
      <w:numFmt w:val="bullet"/>
      <w:lvlText w:val="●"/>
      <w:lvlJc w:val="left"/>
      <w:pPr>
        <w:ind w:left="6480" w:hanging="360"/>
      </w:pPr>
    </w:lvl>
  </w:abstractNum>
  <w:abstractNum w:abstractNumId="10" w15:restartNumberingAfterBreak="0">
    <w:nsid w:val="7BC17BD8"/>
    <w:multiLevelType w:val="hybridMultilevel"/>
    <w:tmpl w:val="BC18996E"/>
    <w:lvl w:ilvl="0" w:tplc="7CDA20E8">
      <w:start w:val="1"/>
      <w:numFmt w:val="bullet"/>
      <w:lvlText w:val="•"/>
      <w:lvlJc w:val="left"/>
      <w:pPr>
        <w:ind w:left="320" w:hanging="210"/>
      </w:pPr>
      <w:rPr>
        <w:color w:val="1F9E94"/>
      </w:rPr>
    </w:lvl>
    <w:lvl w:ilvl="1" w:tplc="B5286F42">
      <w:numFmt w:val="decimal"/>
      <w:lvlText w:val=""/>
      <w:lvlJc w:val="left"/>
    </w:lvl>
    <w:lvl w:ilvl="2" w:tplc="BB02B052">
      <w:numFmt w:val="decimal"/>
      <w:lvlText w:val=""/>
      <w:lvlJc w:val="left"/>
    </w:lvl>
    <w:lvl w:ilvl="3" w:tplc="D1FC4060">
      <w:numFmt w:val="decimal"/>
      <w:lvlText w:val=""/>
      <w:lvlJc w:val="left"/>
    </w:lvl>
    <w:lvl w:ilvl="4" w:tplc="08B67614">
      <w:numFmt w:val="decimal"/>
      <w:lvlText w:val=""/>
      <w:lvlJc w:val="left"/>
    </w:lvl>
    <w:lvl w:ilvl="5" w:tplc="4D426E00">
      <w:numFmt w:val="decimal"/>
      <w:lvlText w:val=""/>
      <w:lvlJc w:val="left"/>
    </w:lvl>
    <w:lvl w:ilvl="6" w:tplc="7DF80D4C">
      <w:numFmt w:val="decimal"/>
      <w:lvlText w:val=""/>
      <w:lvlJc w:val="left"/>
    </w:lvl>
    <w:lvl w:ilvl="7" w:tplc="65F6F886">
      <w:numFmt w:val="decimal"/>
      <w:lvlText w:val=""/>
      <w:lvlJc w:val="left"/>
    </w:lvl>
    <w:lvl w:ilvl="8" w:tplc="BFF0D9F6">
      <w:numFmt w:val="decimal"/>
      <w:lvlText w:val=""/>
      <w:lvlJc w:val="left"/>
    </w:lvl>
  </w:abstractNum>
  <w:num w:numId="1" w16cid:durableId="1685789426">
    <w:abstractNumId w:val="9"/>
    <w:lvlOverride w:ilvl="0">
      <w:startOverride w:val="1"/>
    </w:lvlOverride>
  </w:num>
  <w:num w:numId="2" w16cid:durableId="2030594040">
    <w:abstractNumId w:val="1"/>
    <w:lvlOverride w:ilvl="0">
      <w:startOverride w:val="1"/>
    </w:lvlOverride>
  </w:num>
  <w:num w:numId="3" w16cid:durableId="1021279095">
    <w:abstractNumId w:val="3"/>
    <w:lvlOverride w:ilvl="0">
      <w:startOverride w:val="1"/>
    </w:lvlOverride>
  </w:num>
  <w:num w:numId="4" w16cid:durableId="1322662169">
    <w:abstractNumId w:val="6"/>
    <w:lvlOverride w:ilvl="0">
      <w:startOverride w:val="1"/>
    </w:lvlOverride>
  </w:num>
  <w:num w:numId="5" w16cid:durableId="11908148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724"/>
    <w:rsid w:val="00100E14"/>
    <w:rsid w:val="008362EE"/>
    <w:rsid w:val="00836724"/>
    <w:rsid w:val="00997E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34EF1"/>
  <w15:docId w15:val="{F3A144BE-8D33-43C1-AEF5-F58724AE5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693</Words>
  <Characters>3956</Characters>
  <Application>Microsoft Office Word</Application>
  <DocSecurity>0</DocSecurity>
  <Lines>32</Lines>
  <Paragraphs>9</Paragraphs>
  <ScaleCrop>false</ScaleCrop>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2026-06-19T14:16:00Z</dcterms:created>
  <dcterms:modified xsi:type="dcterms:W3CDTF">2026-06-19T17:10:00Z</dcterms:modified>
</cp:coreProperties>
</file>