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9746"/>
      </w:tblGrid>
      <w:tr>
        <w:tc>
          <w:tcPr>
            <w:tcW w:type="dxa" w:w="9746"/>
            <w:shd w:fill="E2661A" w:val="clear"/>
            <w:tcMar>
              <w:top w:type="dxa" w:w="110"/>
              <w:left w:type="dxa" w:w="200"/>
              <w:bottom w:type="dxa" w:w="110"/>
              <w:right w:type="dxa" w:w="200"/>
            </w:tcMar>
          </w:tcPr>
          <w:p>
            <w:pPr>
              <w:spacing w:after="0" w:line="240" w:lineRule="auto"/>
            </w:pPr>
            <w:r>
              <w:rPr>
                <w:rFonts w:ascii="Arial" w:cs="Arial" w:eastAsia="Arial" w:hAnsi="Arial"/>
                <w:b/>
                <w:bCs/>
                <w:color w:val="FFFFFF"/>
                <w:spacing w:val="40"/>
                <w:sz w:val="26"/>
                <w:szCs w:val="26"/>
              </w:rPr>
              <w:t xml:space="preserve">BRADFORD VTS TEACHING AIDS</w:t>
            </w:r>
          </w:p>
        </w:tc>
      </w:tr>
    </w:tbl>
    <w:p>
      <w:pPr>
        <w:spacing w:after="60"/>
      </w:pPr>
    </w:p>
    <w:p>
      <w:pPr>
        <w:keepNext/>
        <w:spacing w:after="30" w:before="60" w:line="320" w:lineRule="auto"/>
      </w:pPr>
      <w:r>
        <w:rPr>
          <w:rFonts w:ascii="Arial" w:cs="Arial" w:eastAsia="Arial" w:hAnsi="Arial"/>
          <w:b/>
          <w:bCs/>
          <w:color w:val="1F2A36"/>
          <w:sz w:val="48"/>
          <w:szCs w:val="48"/>
        </w:rPr>
        <w:t xml:space="preserve">Fibromyalgia</w:t>
      </w:r>
    </w:p>
    <w:p>
      <w:pPr>
        <w:pBdr>
          <w:bottom w:val="single" w:color="7A4FA3" w:sz="22" w:space="1"/>
        </w:pBdr>
        <w:spacing w:after="60"/>
      </w:pPr>
    </w:p>
    <w:p>
      <w:pPr>
        <w:tabs>
          <w:tab w:val="right" w:pos="9746"/>
        </w:tabs>
        <w:spacing w:after="200" w:before="40"/>
      </w:pPr>
      <w:r>
        <w:rPr>
          <w:rFonts w:ascii="Arial" w:cs="Arial" w:eastAsia="Arial" w:hAnsi="Arial"/>
          <w:b/>
          <w:bCs/>
          <w:color w:val="7A4FA3"/>
          <w:spacing w:val="12"/>
          <w:sz w:val="20"/>
          <w:szCs w:val="20"/>
        </w:rPr>
        <w:t xml:space="preserve">MSK Teaching Series  ·  For GP Trainees &amp; IMGs</w:t>
      </w:r>
      <w:r>
        <w:rPr>
          <w:rFonts w:ascii="Arial" w:cs="Arial" w:eastAsia="Arial" w:hAnsi="Arial"/>
          <w:b/>
          <w:bCs/>
          <w:color w:val="5A636E"/>
          <w:sz w:val="20"/>
          <w:szCs w:val="20"/>
        </w:rPr>
        <w:t xml:space="preserve">	June 2026</w:t>
      </w:r>
    </w:p>
    <w:tbl>
      <w:tblPr>
        <w:tblW w:type="dxa" w:w="9746"/>
        <w:tblBorders>
          <w:top w:val="single" w:color="2EA057" w:sz="2"/>
          <w:left w:val="single" w:color="2EA057" w:sz="28"/>
          <w:bottom w:val="single" w:color="2EA057" w:sz="2"/>
          <w:right w:val="single" w:color="2EA057" w:sz="2"/>
          <w:insideH w:val="single" w:color="auto" w:sz="4"/>
          <w:insideV w:val="single" w:color="auto" w:sz="4"/>
        </w:tblBorders>
      </w:tblPr>
      <w:tblGrid>
        <w:gridCol w:w="9746"/>
      </w:tblGrid>
      <w:tr>
        <w:trPr>
          <w:cantSplit/>
        </w:trPr>
        <w:tc>
          <w:tcPr>
            <w:tcW w:type="dxa" w:w="9746"/>
            <w:shd w:fill="E8F5EC" w:val="clear"/>
            <w:tcMar>
              <w:top w:type="dxa" w:w="110"/>
              <w:left w:type="dxa" w:w="200"/>
              <w:bottom w:type="dxa" w:w="110"/>
              <w:right w:type="dxa" w:w="160"/>
            </w:tcMar>
          </w:tcPr>
          <w:p>
            <w:pPr>
              <w:spacing w:after="70" w:line="248" w:lineRule="auto"/>
            </w:pPr>
            <w:r>
              <w:rPr>
                <w:rFonts w:ascii="Arial" w:cs="Arial" w:eastAsia="Arial" w:hAnsi="Arial"/>
                <w:b/>
                <w:bCs/>
                <w:color w:val="1E7A40"/>
                <w:sz w:val="21"/>
                <w:szCs w:val="21"/>
              </w:rPr>
              <w:t xml:space="preserve">✓  In a nutshell</w:t>
            </w:r>
          </w:p>
          <w:p>
            <w:pPr>
              <w:spacing w:after="60" w:line="252" w:lineRule="auto"/>
            </w:pPr>
            <w:r>
              <w:rPr>
                <w:rFonts w:ascii="Arial" w:cs="Arial" w:eastAsia="Arial" w:hAnsi="Arial"/>
                <w:b/>
                <w:bCs/>
                <w:i w:val="false"/>
                <w:iCs w:val="false"/>
                <w:caps w:val="false"/>
                <w:color w:val="2B3640"/>
                <w:sz w:val="21"/>
                <w:szCs w:val="21"/>
              </w:rPr>
              <w:t xml:space="preserve">Fibromyalgia is a genuine disorder of pain processing — the nervous system's 'volume' is turned up. It is not imagined, and not a diagnosis of exclusion to be made reluctantly.</w:t>
            </w:r>
          </w:p>
          <w:p>
            <w:pPr>
              <w:spacing w:after="60" w:line="252" w:lineRule="auto"/>
            </w:pPr>
            <w:r>
              <w:rPr>
                <w:rFonts w:ascii="Arial" w:cs="Arial" w:eastAsia="Arial" w:hAnsi="Arial"/>
                <w:b/>
                <w:bCs/>
                <w:i w:val="false"/>
                <w:iCs w:val="false"/>
                <w:caps w:val="false"/>
                <w:color w:val="2B3640"/>
                <w:sz w:val="21"/>
                <w:szCs w:val="21"/>
              </w:rPr>
              <w:t xml:space="preserve">NICE (NG193) reframed it as </w:t>
            </w:r>
            <w:r>
              <w:rPr>
                <w:rFonts w:ascii="Arial" w:cs="Arial" w:eastAsia="Arial" w:hAnsi="Arial"/>
                <w:b w:val="false"/>
                <w:bCs w:val="false"/>
                <w:i w:val="false"/>
                <w:iCs w:val="false"/>
                <w:caps w:val="false"/>
                <w:color w:val="2B3640"/>
                <w:sz w:val="21"/>
                <w:szCs w:val="21"/>
              </w:rPr>
              <w:t xml:space="preserve">chronic primary pain, and overturned the old drug-led approach: the foundation is now exercise, psychological therapy and a good explanation — not analgesia.</w:t>
            </w:r>
          </w:p>
          <w:p>
            <w:pPr>
              <w:spacing w:after="0" w:line="252" w:lineRule="auto"/>
            </w:pPr>
            <w:r>
              <w:rPr>
                <w:rFonts w:ascii="Arial" w:cs="Arial" w:eastAsia="Arial" w:hAnsi="Arial"/>
                <w:b/>
                <w:bCs/>
                <w:i w:val="false"/>
                <w:iCs w:val="false"/>
                <w:caps w:val="false"/>
                <w:color w:val="2B3640"/>
                <w:sz w:val="21"/>
                <w:szCs w:val="21"/>
              </w:rPr>
              <w:t xml:space="preserve">Your most powerful intervention is the explanation itself. </w:t>
            </w:r>
            <w:r>
              <w:rPr>
                <w:rFonts w:ascii="Arial" w:cs="Arial" w:eastAsia="Arial" w:hAnsi="Arial"/>
                <w:b w:val="false"/>
                <w:bCs w:val="false"/>
                <w:i w:val="false"/>
                <w:iCs w:val="false"/>
                <w:caps w:val="false"/>
                <w:color w:val="2B3640"/>
                <w:sz w:val="21"/>
                <w:szCs w:val="21"/>
              </w:rPr>
              <w:t xml:space="preserve">How you frame the diagnosis changes outcomes.</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0"/>
        <w:gridCol w:w="9686"/>
      </w:tblGrid>
      <w:tr>
        <w:tc>
          <w:tcPr>
            <w:tcW w:type="dxa" w:w="60"/>
            <w:shd w:fill="7A4FA3" w:val="clear"/>
            <w:tcMar>
              <w:top w:type="dxa" w:w="0"/>
              <w:left w:type="dxa" w:w="0"/>
              <w:bottom w:type="dxa" w:w="0"/>
              <w:right w:type="dxa" w:w="0"/>
            </w:tcMar>
          </w:tcPr>
          <w:p>
            <w:pPr>
              <w:spacing w:after="0"/>
            </w:pPr>
          </w:p>
        </w:tc>
        <w:tc>
          <w:tcPr>
            <w:tcW w:type="dxa" w:w="9686"/>
            <w:shd w:fill="F4F6F8" w:val="clear"/>
            <w:tcMar>
              <w:top w:type="dxa" w:w="70"/>
              <w:left w:type="dxa" w:w="150"/>
              <w:bottom w:type="dxa" w:w="70"/>
              <w:right w:type="dxa" w:w="120"/>
            </w:tcMar>
            <w:vAlign w:val="center"/>
          </w:tcPr>
          <w:p>
            <w:pPr>
              <w:spacing w:after="0" w:line="252" w:lineRule="auto"/>
            </w:pPr>
            <w:r>
              <w:rPr>
                <w:rFonts w:ascii="Arial" w:cs="Arial" w:eastAsia="Arial" w:hAnsi="Arial"/>
                <w:b/>
                <w:bCs/>
                <w:color w:val="21303D"/>
                <w:sz w:val="27"/>
                <w:szCs w:val="27"/>
              </w:rPr>
              <w:t xml:space="preserve">Recognise  ·  The clinical picture</w:t>
            </w:r>
          </w:p>
        </w:tc>
      </w:tr>
    </w:tbl>
    <w:p>
      <w:pPr>
        <w:spacing w:after="120" w:before="0" w:line="264" w:lineRule="auto"/>
      </w:pPr>
      <w:r>
        <w:rPr>
          <w:rFonts w:ascii="Arial" w:cs="Arial" w:eastAsia="Arial" w:hAnsi="Arial"/>
          <w:b w:val="false"/>
          <w:bCs w:val="false"/>
          <w:i w:val="false"/>
          <w:iCs w:val="false"/>
          <w:caps w:val="false"/>
          <w:color w:val="2B3640"/>
          <w:sz w:val="21"/>
          <w:szCs w:val="21"/>
        </w:rPr>
        <w:t xml:space="preserve">There is no diagnostic test. Suspect fibromyalgia when chronic widespread pain is accompanied by a cluster of other symptoms, present for at least 3 months:</w:t>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200"/>
        <w:gridCol w:w="6546"/>
      </w:tblGrid>
      <w:tr>
        <w:trPr>
          <w:cantSplit/>
          <w:tblHeader/>
        </w:trPr>
        <w:tc>
          <w:tcPr>
            <w:tcW w:type="dxa" w:w="3200"/>
            <w:tcBorders>
              <w:top w:val="single" w:color="7A4FA3" w:sz="4"/>
              <w:left w:val="single" w:color="7A4FA3" w:sz="4"/>
              <w:bottom w:val="single" w:color="7A4FA3" w:sz="4"/>
              <w:right w:val="single" w:color="7A4FA3" w:sz="4"/>
            </w:tcBorders>
            <w:shd w:fill="7A4FA3" w:val="clear"/>
            <w:tcMar>
              <w:top w:type="dxa" w:w="60"/>
              <w:left w:type="dxa" w:w="130"/>
              <w:bottom w:type="dxa" w:w="60"/>
              <w:right w:type="dxa" w:w="110"/>
            </w:tcMar>
            <w:vAlign w:val="center"/>
          </w:tcPr>
          <w:p>
            <w:pPr>
              <w:spacing w:after="0" w:line="248" w:lineRule="auto"/>
              <w:jc w:val="left"/>
            </w:pPr>
            <w:r>
              <w:rPr>
                <w:rFonts w:ascii="Arial" w:cs="Arial" w:eastAsia="Arial" w:hAnsi="Arial"/>
                <w:b/>
                <w:bCs/>
                <w:i w:val="false"/>
                <w:iCs w:val="false"/>
                <w:caps w:val="false"/>
                <w:color w:val="FFFFFF"/>
                <w:sz w:val="20"/>
                <w:szCs w:val="20"/>
              </w:rPr>
              <w:t xml:space="preserve">Feature</w:t>
            </w:r>
          </w:p>
        </w:tc>
        <w:tc>
          <w:tcPr>
            <w:tcW w:type="dxa" w:w="6546"/>
            <w:tcBorders>
              <w:top w:val="single" w:color="7A4FA3" w:sz="4"/>
              <w:left w:val="single" w:color="7A4FA3" w:sz="4"/>
              <w:bottom w:val="single" w:color="7A4FA3" w:sz="4"/>
              <w:right w:val="single" w:color="7A4FA3" w:sz="4"/>
            </w:tcBorders>
            <w:shd w:fill="7A4FA3" w:val="clear"/>
            <w:tcMar>
              <w:top w:type="dxa" w:w="60"/>
              <w:left w:type="dxa" w:w="130"/>
              <w:bottom w:type="dxa" w:w="60"/>
              <w:right w:type="dxa" w:w="110"/>
            </w:tcMar>
            <w:vAlign w:val="center"/>
          </w:tcPr>
          <w:p>
            <w:pPr>
              <w:spacing w:after="0" w:line="248" w:lineRule="auto"/>
              <w:jc w:val="left"/>
            </w:pPr>
            <w:r>
              <w:rPr>
                <w:rFonts w:ascii="Arial" w:cs="Arial" w:eastAsia="Arial" w:hAnsi="Arial"/>
                <w:b/>
                <w:bCs/>
                <w:i w:val="false"/>
                <w:iCs w:val="false"/>
                <w:caps w:val="false"/>
                <w:color w:val="FFFFFF"/>
                <w:sz w:val="20"/>
                <w:szCs w:val="20"/>
              </w:rPr>
              <w:t xml:space="preserve">Notes</w:t>
            </w:r>
          </w:p>
        </w:tc>
      </w:tr>
      <w:tr>
        <w:trPr>
          <w:cantSplit/>
        </w:trPr>
        <w:tc>
          <w:tcPr>
            <w:tcW w:type="dxa" w:w="3200"/>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bCs/>
                <w:i w:val="false"/>
                <w:iCs w:val="false"/>
                <w:caps w:val="false"/>
                <w:color w:val="2B3640"/>
                <w:sz w:val="20"/>
                <w:szCs w:val="20"/>
              </w:rPr>
              <w:t xml:space="preserve">Widespread pain</w:t>
            </w:r>
          </w:p>
        </w:tc>
        <w:tc>
          <w:tcPr>
            <w:tcW w:type="dxa" w:w="6546"/>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Both sides, above and below the waist, and axial — present for ≥ 3 months.</w:t>
            </w:r>
          </w:p>
        </w:tc>
      </w:tr>
      <w:tr>
        <w:trPr>
          <w:cantSplit/>
        </w:trPr>
        <w:tc>
          <w:tcPr>
            <w:tcW w:type="dxa" w:w="3200"/>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bCs/>
                <w:i w:val="false"/>
                <w:iCs w:val="false"/>
                <w:caps w:val="false"/>
                <w:color w:val="2B3640"/>
                <w:sz w:val="20"/>
                <w:szCs w:val="20"/>
              </w:rPr>
              <w:t xml:space="preserve">Fatigue</w:t>
            </w:r>
          </w:p>
        </w:tc>
        <w:tc>
          <w:tcPr>
            <w:tcW w:type="dxa" w:w="6546"/>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Often profound and disproportionate to activity.</w:t>
            </w:r>
          </w:p>
        </w:tc>
      </w:tr>
      <w:tr>
        <w:trPr>
          <w:cantSplit/>
        </w:trPr>
        <w:tc>
          <w:tcPr>
            <w:tcW w:type="dxa" w:w="3200"/>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bCs/>
                <w:i w:val="false"/>
                <w:iCs w:val="false"/>
                <w:caps w:val="false"/>
                <w:color w:val="2B3640"/>
                <w:sz w:val="20"/>
                <w:szCs w:val="20"/>
              </w:rPr>
              <w:t xml:space="preserve">Unrefreshing sleep</w:t>
            </w:r>
          </w:p>
        </w:tc>
        <w:tc>
          <w:tcPr>
            <w:tcW w:type="dxa" w:w="6546"/>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Wakes feeling exhausted; non-restorative sleep is near-universal.</w:t>
            </w:r>
          </w:p>
        </w:tc>
      </w:tr>
      <w:tr>
        <w:trPr>
          <w:cantSplit/>
        </w:trPr>
        <w:tc>
          <w:tcPr>
            <w:tcW w:type="dxa" w:w="3200"/>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bCs/>
                <w:i w:val="false"/>
                <w:iCs w:val="false"/>
                <w:caps w:val="false"/>
                <w:color w:val="2B3640"/>
                <w:sz w:val="20"/>
                <w:szCs w:val="20"/>
              </w:rPr>
              <w:t xml:space="preserve">Cognitive symptoms</w:t>
            </w:r>
          </w:p>
        </w:tc>
        <w:tc>
          <w:tcPr>
            <w:tcW w:type="dxa" w:w="6546"/>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'Fibro-fog' — poor concentration and memory.</w:t>
            </w:r>
          </w:p>
        </w:tc>
      </w:tr>
      <w:tr>
        <w:trPr>
          <w:cantSplit/>
        </w:trPr>
        <w:tc>
          <w:tcPr>
            <w:tcW w:type="dxa" w:w="3200"/>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bCs/>
                <w:i w:val="false"/>
                <w:iCs w:val="false"/>
                <w:caps w:val="false"/>
                <w:color w:val="2B3640"/>
                <w:sz w:val="20"/>
                <w:szCs w:val="20"/>
              </w:rPr>
              <w:t xml:space="preserve">Somatic symptoms</w:t>
            </w:r>
          </w:p>
        </w:tc>
        <w:tc>
          <w:tcPr>
            <w:tcW w:type="dxa" w:w="6546"/>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Headache, IBS-type bowel symptoms, paraesthesiae, low mood and anxiety.</w:t>
            </w:r>
          </w:p>
        </w:tc>
      </w:tr>
    </w:tbl>
    <w:tbl>
      <w:tblPr>
        <w:tblW w:type="dxa" w:w="9746"/>
        <w:tblBorders>
          <w:top w:val="single" w:color="2E75B6" w:sz="2"/>
          <w:left w:val="single" w:color="2E75B6" w:sz="28"/>
          <w:bottom w:val="single" w:color="2E75B6" w:sz="2"/>
          <w:right w:val="single" w:color="2E75B6" w:sz="2"/>
          <w:insideH w:val="single" w:color="auto" w:sz="4"/>
          <w:insideV w:val="single" w:color="auto" w:sz="4"/>
        </w:tblBorders>
      </w:tblPr>
      <w:tblGrid>
        <w:gridCol w:w="9746"/>
      </w:tblGrid>
      <w:tr>
        <w:trPr>
          <w:cantSplit/>
        </w:trPr>
        <w:tc>
          <w:tcPr>
            <w:tcW w:type="dxa" w:w="9746"/>
            <w:shd w:fill="E9F1FB" w:val="clear"/>
            <w:tcMar>
              <w:top w:type="dxa" w:w="110"/>
              <w:left w:type="dxa" w:w="200"/>
              <w:bottom w:type="dxa" w:w="110"/>
              <w:right w:type="dxa" w:w="160"/>
            </w:tcMar>
          </w:tcPr>
          <w:p>
            <w:pPr>
              <w:spacing w:after="70" w:line="248" w:lineRule="auto"/>
            </w:pPr>
            <w:r>
              <w:rPr>
                <w:rFonts w:ascii="Arial" w:cs="Arial" w:eastAsia="Arial" w:hAnsi="Arial"/>
                <w:b/>
                <w:bCs/>
                <w:color w:val="1F5C95"/>
                <w:sz w:val="21"/>
                <w:szCs w:val="21"/>
              </w:rPr>
              <w:t xml:space="preserve">▸  Diagnosis — the tender-point count is gone</w:t>
            </w:r>
          </w:p>
          <w:p>
            <w:pPr>
              <w:pStyle w:val="ListParagraph"/>
              <w:numPr>
                <w:ilvl w:val="0"/>
                <w:numId w:val="2"/>
              </w:numPr>
              <w:spacing w:after="50" w:line="248" w:lineRule="auto"/>
            </w:pPr>
            <w:r>
              <w:rPr>
                <w:rFonts w:ascii="Arial" w:cs="Arial" w:eastAsia="Arial" w:hAnsi="Arial"/>
                <w:b/>
                <w:bCs/>
                <w:i w:val="false"/>
                <w:iCs w:val="false"/>
                <w:caps w:val="false"/>
                <w:color w:val="2B3640"/>
                <w:sz w:val="21"/>
                <w:szCs w:val="21"/>
              </w:rPr>
              <w:t xml:space="preserve">The old requirement to find 11 of 18 tender points is obsolete.</w:t>
            </w:r>
            <w:r>
              <w:rPr>
                <w:rFonts w:ascii="Arial" w:cs="Arial" w:eastAsia="Arial" w:hAnsi="Arial"/>
                <w:b w:val="false"/>
                <w:bCs w:val="false"/>
                <w:i w:val="false"/>
                <w:iCs w:val="false"/>
                <w:caps w:val="false"/>
                <w:color w:val="2B3640"/>
                <w:sz w:val="21"/>
                <w:szCs w:val="21"/>
              </w:rPr>
              <w:t xml:space="preserve"> Modern (ACR 2010/2016) criteria use a Widespread Pain Index and a Symptom Severity scale instead — see the companion assessment teaching aid.</w:t>
            </w:r>
          </w:p>
          <w:p>
            <w:pPr>
              <w:pStyle w:val="ListParagraph"/>
              <w:numPr>
                <w:ilvl w:val="0"/>
                <w:numId w:val="2"/>
              </w:numPr>
              <w:spacing w:after="0" w:line="248" w:lineRule="auto"/>
            </w:pPr>
            <w:r>
              <w:rPr>
                <w:rFonts w:ascii="Arial" w:cs="Arial" w:eastAsia="Arial" w:hAnsi="Arial"/>
                <w:b w:val="false"/>
                <w:bCs w:val="false"/>
                <w:i w:val="false"/>
                <w:iCs w:val="false"/>
                <w:caps w:val="false"/>
                <w:color w:val="2B3640"/>
                <w:sz w:val="21"/>
                <w:szCs w:val="21"/>
              </w:rPr>
              <w:t xml:space="preserve">Diagnosis is positive and clinical — made on the pattern, not by excluding everything else first.</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0"/>
        <w:gridCol w:w="9686"/>
      </w:tblGrid>
      <w:tr>
        <w:tc>
          <w:tcPr>
            <w:tcW w:type="dxa" w:w="60"/>
            <w:shd w:fill="7A4FA3" w:val="clear"/>
            <w:tcMar>
              <w:top w:type="dxa" w:w="0"/>
              <w:left w:type="dxa" w:w="0"/>
              <w:bottom w:type="dxa" w:w="0"/>
              <w:right w:type="dxa" w:w="0"/>
            </w:tcMar>
          </w:tcPr>
          <w:p>
            <w:pPr>
              <w:spacing w:after="0"/>
            </w:pPr>
          </w:p>
        </w:tc>
        <w:tc>
          <w:tcPr>
            <w:tcW w:type="dxa" w:w="9686"/>
            <w:shd w:fill="F4F6F8" w:val="clear"/>
            <w:tcMar>
              <w:top w:type="dxa" w:w="70"/>
              <w:left w:type="dxa" w:w="150"/>
              <w:bottom w:type="dxa" w:w="70"/>
              <w:right w:type="dxa" w:w="120"/>
            </w:tcMar>
            <w:vAlign w:val="center"/>
          </w:tcPr>
          <w:p>
            <w:pPr>
              <w:spacing w:after="0" w:line="252" w:lineRule="auto"/>
            </w:pPr>
            <w:r>
              <w:rPr>
                <w:rFonts w:ascii="Arial" w:cs="Arial" w:eastAsia="Arial" w:hAnsi="Arial"/>
                <w:b/>
                <w:bCs/>
                <w:color w:val="21303D"/>
                <w:sz w:val="27"/>
                <w:szCs w:val="27"/>
              </w:rPr>
              <w:t xml:space="preserve">Recognise  ·  Mimics you must not miss</w:t>
            </w:r>
          </w:p>
        </w:tc>
      </w:tr>
    </w:tbl>
    <w:p>
      <w:pPr>
        <w:spacing w:after="120" w:before="0" w:line="264" w:lineRule="auto"/>
      </w:pPr>
      <w:r>
        <w:rPr>
          <w:rFonts w:ascii="Arial" w:cs="Arial" w:eastAsia="Arial" w:hAnsi="Arial"/>
          <w:b w:val="false"/>
          <w:bCs w:val="false"/>
          <w:i w:val="false"/>
          <w:iCs w:val="false"/>
          <w:caps w:val="false"/>
          <w:color w:val="2B3640"/>
          <w:sz w:val="21"/>
          <w:szCs w:val="21"/>
        </w:rPr>
        <w:t xml:space="preserve">A focused work-up rules out treatable conditions that imitate fibromyalgia. Investigate guided by the history — do not blanket-test.</w:t>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4873"/>
        <w:gridCol w:w="4873"/>
      </w:tblGrid>
      <w:tr>
        <w:trPr>
          <w:cantSplit/>
          <w:tblHeader/>
        </w:trPr>
        <w:tc>
          <w:tcPr>
            <w:tcW w:type="dxa" w:w="4873"/>
            <w:tcBorders>
              <w:top w:val="single" w:color="7A4FA3" w:sz="4"/>
              <w:left w:val="single" w:color="7A4FA3" w:sz="4"/>
              <w:bottom w:val="single" w:color="7A4FA3" w:sz="4"/>
              <w:right w:val="single" w:color="7A4FA3" w:sz="4"/>
            </w:tcBorders>
            <w:shd w:fill="7A4FA3" w:val="clear"/>
            <w:tcMar>
              <w:top w:type="dxa" w:w="60"/>
              <w:left w:type="dxa" w:w="130"/>
              <w:bottom w:type="dxa" w:w="60"/>
              <w:right w:type="dxa" w:w="110"/>
            </w:tcMar>
            <w:vAlign w:val="center"/>
          </w:tcPr>
          <w:p>
            <w:pPr>
              <w:spacing w:after="0" w:line="248" w:lineRule="auto"/>
              <w:jc w:val="left"/>
            </w:pPr>
            <w:r>
              <w:rPr>
                <w:rFonts w:ascii="Arial" w:cs="Arial" w:eastAsia="Arial" w:hAnsi="Arial"/>
                <w:b w:val="false"/>
                <w:bCs w:val="false"/>
                <w:i w:val="false"/>
                <w:iCs w:val="false"/>
                <w:caps w:val="false"/>
                <w:color w:val="FFFFFF"/>
                <w:sz w:val="20"/>
                <w:szCs w:val="20"/>
              </w:rPr>
            </w:r>
          </w:p>
        </w:tc>
        <w:tc>
          <w:tcPr>
            <w:tcW w:type="dxa" w:w="4873"/>
            <w:tcBorders>
              <w:top w:val="single" w:color="7A4FA3" w:sz="4"/>
              <w:left w:val="single" w:color="7A4FA3" w:sz="4"/>
              <w:bottom w:val="single" w:color="7A4FA3" w:sz="4"/>
              <w:right w:val="single" w:color="7A4FA3" w:sz="4"/>
            </w:tcBorders>
            <w:shd w:fill="7A4FA3" w:val="clear"/>
            <w:tcMar>
              <w:top w:type="dxa" w:w="60"/>
              <w:left w:type="dxa" w:w="130"/>
              <w:bottom w:type="dxa" w:w="60"/>
              <w:right w:type="dxa" w:w="110"/>
            </w:tcMar>
            <w:vAlign w:val="center"/>
          </w:tcPr>
          <w:p>
            <w:pPr>
              <w:spacing w:after="0" w:line="248" w:lineRule="auto"/>
              <w:jc w:val="left"/>
            </w:pPr>
            <w:r>
              <w:rPr>
                <w:rFonts w:ascii="Arial" w:cs="Arial" w:eastAsia="Arial" w:hAnsi="Arial"/>
                <w:b/>
                <w:bCs/>
                <w:i w:val="false"/>
                <w:iCs w:val="false"/>
                <w:caps w:val="false"/>
                <w:color w:val="FFFFFF"/>
                <w:sz w:val="20"/>
                <w:szCs w:val="20"/>
              </w:rPr>
              <w:t xml:space="preserve">Baseline screen</w:t>
            </w:r>
          </w:p>
        </w:tc>
      </w:tr>
      <w:tr>
        <w:trPr>
          <w:cantSplit/>
        </w:trPr>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Inflammatory arthritis; polymyalgia rheumatica; polymyositis</w:t>
            </w:r>
          </w:p>
        </w:tc>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FBC, ESR, CRP</w:t>
            </w:r>
          </w:p>
        </w:tc>
      </w:tr>
      <w:tr>
        <w:trPr>
          <w:cantSplit/>
        </w:trPr>
        <w:tc>
          <w:tcPr>
            <w:tcW w:type="dxa" w:w="4873"/>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Hypothyroidism</w:t>
            </w:r>
          </w:p>
        </w:tc>
        <w:tc>
          <w:tcPr>
            <w:tcW w:type="dxa" w:w="4873"/>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TSH</w:t>
            </w:r>
          </w:p>
        </w:tc>
      </w:tr>
      <w:tr>
        <w:trPr>
          <w:cantSplit/>
        </w:trPr>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Vitamin D deficiency; bone disease</w:t>
            </w:r>
          </w:p>
        </w:tc>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Calcium, vitamin D, ALP</w:t>
            </w:r>
          </w:p>
        </w:tc>
      </w:tr>
      <w:tr>
        <w:trPr>
          <w:cantSplit/>
        </w:trPr>
        <w:tc>
          <w:tcPr>
            <w:tcW w:type="dxa" w:w="4873"/>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Statin-induced myalgia; myopathy</w:t>
            </w:r>
          </w:p>
        </w:tc>
        <w:tc>
          <w:tcPr>
            <w:tcW w:type="dxa" w:w="4873"/>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Creatine kinase (CK)</w:t>
            </w:r>
          </w:p>
        </w:tc>
      </w:tr>
      <w:tr>
        <w:trPr>
          <w:cantSplit/>
        </w:trPr>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Diabetes</w:t>
            </w:r>
          </w:p>
        </w:tc>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Glucose / HbA1c, urinalysis</w:t>
            </w:r>
          </w:p>
        </w:tc>
      </w:tr>
      <w:tr>
        <w:trPr>
          <w:cantSplit/>
        </w:trPr>
        <w:tc>
          <w:tcPr>
            <w:tcW w:type="dxa" w:w="4873"/>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Hypermobility (hEDS / HSD), sleep apnoea, restless legs, MS, malignancy</w:t>
            </w:r>
          </w:p>
        </w:tc>
        <w:tc>
          <w:tcPr>
            <w:tcW w:type="dxa" w:w="4873"/>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Guided by clinical clues; ANA/RF/anti-CCP only if specific pointers</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0"/>
        <w:gridCol w:w="9686"/>
      </w:tblGrid>
      <w:tr>
        <w:tc>
          <w:tcPr>
            <w:tcW w:type="dxa" w:w="60"/>
            <w:shd w:fill="7A4FA3" w:val="clear"/>
            <w:tcMar>
              <w:top w:type="dxa" w:w="0"/>
              <w:left w:type="dxa" w:w="0"/>
              <w:bottom w:type="dxa" w:w="0"/>
              <w:right w:type="dxa" w:w="0"/>
            </w:tcMar>
          </w:tcPr>
          <w:p>
            <w:pPr>
              <w:spacing w:after="0"/>
            </w:pPr>
          </w:p>
        </w:tc>
        <w:tc>
          <w:tcPr>
            <w:tcW w:type="dxa" w:w="9686"/>
            <w:shd w:fill="F4F6F8" w:val="clear"/>
            <w:tcMar>
              <w:top w:type="dxa" w:w="70"/>
              <w:left w:type="dxa" w:w="150"/>
              <w:bottom w:type="dxa" w:w="70"/>
              <w:right w:type="dxa" w:w="120"/>
            </w:tcMar>
            <w:vAlign w:val="center"/>
          </w:tcPr>
          <w:p>
            <w:pPr>
              <w:spacing w:after="0" w:line="252" w:lineRule="auto"/>
            </w:pPr>
            <w:r>
              <w:rPr>
                <w:rFonts w:ascii="Arial" w:cs="Arial" w:eastAsia="Arial" w:hAnsi="Arial"/>
                <w:b/>
                <w:bCs/>
                <w:color w:val="21303D"/>
                <w:sz w:val="27"/>
                <w:szCs w:val="27"/>
              </w:rPr>
              <w:t xml:space="preserve">Act  ·  The explanation is the treatment</w:t>
            </w:r>
          </w:p>
        </w:tc>
      </w:tr>
    </w:tbl>
    <w:p>
      <w:pPr>
        <w:spacing w:after="120" w:before="0" w:line="264" w:lineRule="auto"/>
      </w:pPr>
      <w:r>
        <w:rPr>
          <w:rFonts w:ascii="Arial" w:cs="Arial" w:eastAsia="Arial" w:hAnsi="Arial"/>
          <w:b w:val="false"/>
          <w:bCs w:val="false"/>
          <w:i w:val="false"/>
          <w:iCs w:val="false"/>
          <w:caps w:val="false"/>
          <w:color w:val="2B3640"/>
          <w:sz w:val="21"/>
          <w:szCs w:val="21"/>
        </w:rPr>
        <w:t xml:space="preserve">How fibromyalgia is explained dramatically changes how patients cope. A clear, validating, nervous-system explanation beats a dismissive one by a wide margin.</w:t>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4873"/>
        <w:gridCol w:w="4873"/>
      </w:tblGrid>
      <w:tr>
        <w:trPr>
          <w:cantSplit/>
          <w:tblHeader/>
        </w:trPr>
        <w:tc>
          <w:tcPr>
            <w:tcW w:type="dxa" w:w="4873"/>
            <w:tcBorders>
              <w:top w:val="single" w:color="7A4FA3" w:sz="4"/>
              <w:left w:val="single" w:color="7A4FA3" w:sz="4"/>
              <w:bottom w:val="single" w:color="7A4FA3" w:sz="4"/>
              <w:right w:val="single" w:color="7A4FA3" w:sz="4"/>
            </w:tcBorders>
            <w:shd w:fill="7A4FA3" w:val="clear"/>
            <w:tcMar>
              <w:top w:type="dxa" w:w="60"/>
              <w:left w:type="dxa" w:w="130"/>
              <w:bottom w:type="dxa" w:w="60"/>
              <w:right w:type="dxa" w:w="110"/>
            </w:tcMar>
            <w:vAlign w:val="center"/>
          </w:tcPr>
          <w:p>
            <w:pPr>
              <w:spacing w:after="0" w:line="248" w:lineRule="auto"/>
              <w:jc w:val="left"/>
            </w:pPr>
            <w:r>
              <w:rPr>
                <w:rFonts w:ascii="Arial" w:cs="Arial" w:eastAsia="Arial" w:hAnsi="Arial"/>
                <w:b/>
                <w:bCs/>
                <w:i w:val="false"/>
                <w:iCs w:val="false"/>
                <w:caps w:val="false"/>
                <w:color w:val="FFFFFF"/>
                <w:sz w:val="20"/>
                <w:szCs w:val="20"/>
              </w:rPr>
              <w:t xml:space="preserve">Avoid (number-needed-to-offend ≈ 2)</w:t>
            </w:r>
          </w:p>
        </w:tc>
        <w:tc>
          <w:tcPr>
            <w:tcW w:type="dxa" w:w="4873"/>
            <w:tcBorders>
              <w:top w:val="single" w:color="7A4FA3" w:sz="4"/>
              <w:left w:val="single" w:color="7A4FA3" w:sz="4"/>
              <w:bottom w:val="single" w:color="7A4FA3" w:sz="4"/>
              <w:right w:val="single" w:color="7A4FA3" w:sz="4"/>
            </w:tcBorders>
            <w:shd w:fill="7A4FA3" w:val="clear"/>
            <w:tcMar>
              <w:top w:type="dxa" w:w="60"/>
              <w:left w:type="dxa" w:w="130"/>
              <w:bottom w:type="dxa" w:w="60"/>
              <w:right w:type="dxa" w:w="110"/>
            </w:tcMar>
            <w:vAlign w:val="center"/>
          </w:tcPr>
          <w:p>
            <w:pPr>
              <w:spacing w:after="0" w:line="248" w:lineRule="auto"/>
              <w:jc w:val="left"/>
            </w:pPr>
            <w:r>
              <w:rPr>
                <w:rFonts w:ascii="Arial" w:cs="Arial" w:eastAsia="Arial" w:hAnsi="Arial"/>
                <w:b/>
                <w:bCs/>
                <w:i w:val="false"/>
                <w:iCs w:val="false"/>
                <w:caps w:val="false"/>
                <w:color w:val="FFFFFF"/>
                <w:sz w:val="20"/>
                <w:szCs w:val="20"/>
              </w:rPr>
              <w:t xml:space="preserve">Use instead (≈ 9)</w:t>
            </w:r>
          </w:p>
        </w:tc>
      </w:tr>
      <w:tr>
        <w:trPr>
          <w:cantSplit/>
        </w:trPr>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“It's all in your mind.”</w:t>
            </w:r>
          </w:p>
        </w:tc>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“The pain is real — your nervous system has become over-sensitised.”</w:t>
            </w:r>
          </w:p>
        </w:tc>
      </w:tr>
      <w:tr>
        <w:trPr>
          <w:cantSplit/>
        </w:trPr>
        <w:tc>
          <w:tcPr>
            <w:tcW w:type="dxa" w:w="4873"/>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“There's nothing wrong / nothing we can do.”</w:t>
            </w:r>
          </w:p>
        </w:tc>
        <w:tc>
          <w:tcPr>
            <w:tcW w:type="dxa" w:w="4873"/>
            <w:tcBorders>
              <w:top w:val="single" w:color="D7DCE1" w:sz="4"/>
              <w:left w:val="single" w:color="D7DCE1" w:sz="4"/>
              <w:bottom w:val="single" w:color="D7DCE1" w:sz="4"/>
              <w:right w:val="single" w:color="D7DCE1" w:sz="4"/>
            </w:tcBorders>
            <w:shd w:fill="F6F8FA"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“This is a recognised condition, and there is a lot we can do together.”</w:t>
            </w:r>
          </w:p>
        </w:tc>
      </w:tr>
      <w:tr>
        <w:trPr>
          <w:cantSplit/>
        </w:trPr>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“Your tests are all normal, so…”</w:t>
            </w:r>
          </w:p>
        </w:tc>
        <w:tc>
          <w:tcPr>
            <w:tcW w:type="dxa" w:w="4873"/>
            <w:tcBorders>
              <w:top w:val="single" w:color="D7DCE1" w:sz="4"/>
              <w:left w:val="single" w:color="D7DCE1" w:sz="4"/>
              <w:bottom w:val="single" w:color="D7DCE1" w:sz="4"/>
              <w:right w:val="single" w:color="D7DCE1" w:sz="4"/>
            </w:tcBorders>
            <w:shd w:fill="FFFFFF" w:val="clear"/>
            <w:tcMar>
              <w:top w:type="dxa" w:w="60"/>
              <w:left w:type="dxa" w:w="130"/>
              <w:bottom w:type="dxa" w:w="60"/>
              <w:right w:type="dxa" w:w="110"/>
            </w:tcMar>
            <w:vAlign w:val="center"/>
          </w:tcPr>
          <w:p>
            <w:pPr>
              <w:spacing w:after="0" w:line="248" w:lineRule="auto"/>
            </w:pPr>
            <w:r>
              <w:rPr>
                <w:rFonts w:ascii="Arial" w:cs="Arial" w:eastAsia="Arial" w:hAnsi="Arial"/>
                <w:b w:val="false"/>
                <w:bCs w:val="false"/>
                <w:i w:val="false"/>
                <w:iCs w:val="false"/>
                <w:caps w:val="false"/>
                <w:color w:val="2B3640"/>
                <w:sz w:val="20"/>
                <w:szCs w:val="20"/>
              </w:rPr>
              <w:t xml:space="preserve">“Normal tests are expected — they rule out other things and confirm this picture.”</w:t>
            </w:r>
          </w:p>
        </w:tc>
      </w:tr>
    </w:tbl>
    <w:tbl>
      <w:tblPr>
        <w:tblW w:type="dxa" w:w="9746"/>
        <w:tblBorders>
          <w:top w:val="single" w:color="2E75B6" w:sz="2"/>
          <w:left w:val="single" w:color="2E75B6" w:sz="28"/>
          <w:bottom w:val="single" w:color="2E75B6" w:sz="2"/>
          <w:right w:val="single" w:color="2E75B6" w:sz="2"/>
          <w:insideH w:val="single" w:color="auto" w:sz="4"/>
          <w:insideV w:val="single" w:color="auto" w:sz="4"/>
        </w:tblBorders>
      </w:tblPr>
      <w:tblGrid>
        <w:gridCol w:w="9746"/>
      </w:tblGrid>
      <w:tr>
        <w:trPr>
          <w:cantSplit/>
        </w:trPr>
        <w:tc>
          <w:tcPr>
            <w:tcW w:type="dxa" w:w="9746"/>
            <w:shd w:fill="E9F1FB" w:val="clear"/>
            <w:tcMar>
              <w:top w:type="dxa" w:w="110"/>
              <w:left w:type="dxa" w:w="200"/>
              <w:bottom w:type="dxa" w:w="110"/>
              <w:right w:type="dxa" w:w="160"/>
            </w:tcMar>
          </w:tcPr>
          <w:p>
            <w:pPr>
              <w:spacing w:after="70" w:line="248" w:lineRule="auto"/>
            </w:pPr>
            <w:r>
              <w:rPr>
                <w:rFonts w:ascii="Arial" w:cs="Arial" w:eastAsia="Arial" w:hAnsi="Arial"/>
                <w:b/>
                <w:bCs/>
                <w:color w:val="1F5C95"/>
                <w:sz w:val="21"/>
                <w:szCs w:val="21"/>
              </w:rPr>
              <w:t xml:space="preserve">▸  A useful analogy — the pain thermostat</w:t>
            </w:r>
          </w:p>
          <w:p>
            <w:pPr>
              <w:spacing w:after="0" w:line="252" w:lineRule="auto"/>
            </w:pPr>
            <w:r>
              <w:rPr>
                <w:rFonts w:ascii="Arial" w:cs="Arial" w:eastAsia="Arial" w:hAnsi="Arial"/>
                <w:b w:val="false"/>
                <w:bCs w:val="false"/>
                <w:i w:val="false"/>
                <w:iCs w:val="false"/>
                <w:caps w:val="false"/>
                <w:color w:val="2B3640"/>
                <w:sz w:val="21"/>
                <w:szCs w:val="21"/>
              </w:rPr>
              <w:t xml:space="preserve">Compare the nervous system to a thermostat or a volume dial that has been turned up too high: the wiring is intact, but the gain is excessive, so ordinary signals are amplified into pain. Treatment aims to turn the dial back down — through movement, better sleep, paced activity and calming an over-active system — rather than chasing the pain with painkillers.</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0"/>
        <w:gridCol w:w="9686"/>
      </w:tblGrid>
      <w:tr>
        <w:tc>
          <w:tcPr>
            <w:tcW w:type="dxa" w:w="60"/>
            <w:shd w:fill="7A4FA3" w:val="clear"/>
            <w:tcMar>
              <w:top w:type="dxa" w:w="0"/>
              <w:left w:type="dxa" w:w="0"/>
              <w:bottom w:type="dxa" w:w="0"/>
              <w:right w:type="dxa" w:w="0"/>
            </w:tcMar>
          </w:tcPr>
          <w:p>
            <w:pPr>
              <w:spacing w:after="0"/>
            </w:pPr>
          </w:p>
        </w:tc>
        <w:tc>
          <w:tcPr>
            <w:tcW w:type="dxa" w:w="9686"/>
            <w:shd w:fill="F4F6F8" w:val="clear"/>
            <w:tcMar>
              <w:top w:type="dxa" w:w="70"/>
              <w:left w:type="dxa" w:w="150"/>
              <w:bottom w:type="dxa" w:w="70"/>
              <w:right w:type="dxa" w:w="120"/>
            </w:tcMar>
            <w:vAlign w:val="center"/>
          </w:tcPr>
          <w:p>
            <w:pPr>
              <w:spacing w:after="0" w:line="252" w:lineRule="auto"/>
            </w:pPr>
            <w:r>
              <w:rPr>
                <w:rFonts w:ascii="Arial" w:cs="Arial" w:eastAsia="Arial" w:hAnsi="Arial"/>
                <w:b/>
                <w:bCs/>
                <w:color w:val="21303D"/>
                <w:sz w:val="27"/>
                <w:szCs w:val="27"/>
              </w:rPr>
              <w:t xml:space="preserve">Act  ·  What NICE says to do — and to stop</w:t>
            </w:r>
          </w:p>
        </w:tc>
      </w:tr>
    </w:tbl>
    <w:tbl>
      <w:tblPr>
        <w:tblW w:type="dxa" w:w="9746"/>
        <w:tblBorders>
          <w:top w:val="single" w:color="2EA057" w:sz="2"/>
          <w:left w:val="single" w:color="2EA057" w:sz="28"/>
          <w:bottom w:val="single" w:color="2EA057" w:sz="2"/>
          <w:right w:val="single" w:color="2EA057" w:sz="2"/>
          <w:insideH w:val="single" w:color="auto" w:sz="4"/>
          <w:insideV w:val="single" w:color="auto" w:sz="4"/>
        </w:tblBorders>
      </w:tblPr>
      <w:tblGrid>
        <w:gridCol w:w="9746"/>
      </w:tblGrid>
      <w:tr>
        <w:trPr>
          <w:cantSplit/>
        </w:trPr>
        <w:tc>
          <w:tcPr>
            <w:tcW w:type="dxa" w:w="9746"/>
            <w:shd w:fill="E8F5EC" w:val="clear"/>
            <w:tcMar>
              <w:top w:type="dxa" w:w="110"/>
              <w:left w:type="dxa" w:w="200"/>
              <w:bottom w:type="dxa" w:w="110"/>
              <w:right w:type="dxa" w:w="160"/>
            </w:tcMar>
          </w:tcPr>
          <w:p>
            <w:pPr>
              <w:spacing w:after="70" w:line="248" w:lineRule="auto"/>
            </w:pPr>
            <w:r>
              <w:rPr>
                <w:rFonts w:ascii="Arial" w:cs="Arial" w:eastAsia="Arial" w:hAnsi="Arial"/>
                <w:b/>
                <w:bCs/>
                <w:color w:val="1E7A40"/>
                <w:sz w:val="21"/>
                <w:szCs w:val="21"/>
              </w:rPr>
              <w:t xml:space="preserve">◎  DO build the management around these</w:t>
            </w:r>
          </w:p>
          <w:p>
            <w:pPr>
              <w:pStyle w:val="ListParagraph"/>
              <w:numPr>
                <w:ilvl w:val="0"/>
                <w:numId w:val="3"/>
              </w:numPr>
              <w:spacing w:after="50" w:line="248" w:lineRule="auto"/>
            </w:pPr>
            <w:r>
              <w:rPr>
                <w:rFonts w:ascii="Arial" w:cs="Arial" w:eastAsia="Arial" w:hAnsi="Arial"/>
                <w:b/>
                <w:bCs/>
                <w:i w:val="false"/>
                <w:iCs w:val="false"/>
                <w:caps w:val="false"/>
                <w:color w:val="2B3640"/>
                <w:sz w:val="21"/>
                <w:szCs w:val="21"/>
              </w:rPr>
              <w:t xml:space="preserve">Supervised, graded exercise </w:t>
            </w:r>
            <w:r>
              <w:rPr>
                <w:rFonts w:ascii="Arial" w:cs="Arial" w:eastAsia="Arial" w:hAnsi="Arial"/>
                <w:b w:val="false"/>
                <w:bCs w:val="false"/>
                <w:i w:val="false"/>
                <w:iCs w:val="false"/>
                <w:caps w:val="false"/>
                <w:color w:val="2B3640"/>
                <w:sz w:val="21"/>
                <w:szCs w:val="21"/>
              </w:rPr>
              <w:t xml:space="preserve">— the single most effective intervention. Start gently, build slowly, expect (and pre-warn about) an initial increase in symptoms.</w:t>
            </w:r>
          </w:p>
          <w:p>
            <w:pPr>
              <w:pStyle w:val="ListParagraph"/>
              <w:numPr>
                <w:ilvl w:val="0"/>
                <w:numId w:val="3"/>
              </w:numPr>
              <w:spacing w:after="50" w:line="248" w:lineRule="auto"/>
            </w:pPr>
            <w:r>
              <w:rPr>
                <w:rFonts w:ascii="Arial" w:cs="Arial" w:eastAsia="Arial" w:hAnsi="Arial"/>
                <w:b/>
                <w:bCs/>
                <w:i w:val="false"/>
                <w:iCs w:val="false"/>
                <w:caps w:val="false"/>
                <w:color w:val="2B3640"/>
                <w:sz w:val="21"/>
                <w:szCs w:val="21"/>
              </w:rPr>
              <w:t xml:space="preserve">Psychological therapy </w:t>
            </w:r>
            <w:r>
              <w:rPr>
                <w:rFonts w:ascii="Arial" w:cs="Arial" w:eastAsia="Arial" w:hAnsi="Arial"/>
                <w:b w:val="false"/>
                <w:bCs w:val="false"/>
                <w:i w:val="false"/>
                <w:iCs w:val="false"/>
                <w:caps w:val="false"/>
                <w:color w:val="2B3640"/>
                <w:sz w:val="21"/>
                <w:szCs w:val="21"/>
              </w:rPr>
              <w:t xml:space="preserve">— CBT or acceptance and commitment therapy (ACT).</w:t>
            </w:r>
          </w:p>
          <w:p>
            <w:pPr>
              <w:pStyle w:val="ListParagraph"/>
              <w:numPr>
                <w:ilvl w:val="0"/>
                <w:numId w:val="3"/>
              </w:numPr>
              <w:spacing w:after="50" w:line="248" w:lineRule="auto"/>
            </w:pPr>
            <w:r>
              <w:rPr>
                <w:rFonts w:ascii="Arial" w:cs="Arial" w:eastAsia="Arial" w:hAnsi="Arial"/>
                <w:b/>
                <w:bCs/>
                <w:i w:val="false"/>
                <w:iCs w:val="false"/>
                <w:caps w:val="false"/>
                <w:color w:val="2B3640"/>
                <w:sz w:val="21"/>
                <w:szCs w:val="21"/>
              </w:rPr>
              <w:t xml:space="preserve">Consider acupuncture </w:t>
            </w:r>
            <w:r>
              <w:rPr>
                <w:rFonts w:ascii="Arial" w:cs="Arial" w:eastAsia="Arial" w:hAnsi="Arial"/>
                <w:b w:val="false"/>
                <w:bCs w:val="false"/>
                <w:i w:val="false"/>
                <w:iCs w:val="false"/>
                <w:caps w:val="false"/>
                <w:color w:val="2B3640"/>
                <w:sz w:val="21"/>
                <w:szCs w:val="21"/>
              </w:rPr>
              <w:t xml:space="preserve">(a course of needling or electroacupuncture) as one option.</w:t>
            </w:r>
          </w:p>
          <w:p>
            <w:pPr>
              <w:pStyle w:val="ListParagraph"/>
              <w:numPr>
                <w:ilvl w:val="0"/>
                <w:numId w:val="3"/>
              </w:numPr>
              <w:spacing w:after="0" w:line="248" w:lineRule="auto"/>
            </w:pPr>
            <w:r>
              <w:rPr>
                <w:rFonts w:ascii="Arial" w:cs="Arial" w:eastAsia="Arial" w:hAnsi="Arial"/>
                <w:b/>
                <w:bCs/>
                <w:i w:val="false"/>
                <w:iCs w:val="false"/>
                <w:caps w:val="false"/>
                <w:color w:val="2B3640"/>
                <w:sz w:val="21"/>
                <w:szCs w:val="21"/>
              </w:rPr>
              <w:t xml:space="preserve">A clear explanation and self-management plan, </w:t>
            </w:r>
            <w:r>
              <w:rPr>
                <w:rFonts w:ascii="Arial" w:cs="Arial" w:eastAsia="Arial" w:hAnsi="Arial"/>
                <w:b w:val="false"/>
                <w:bCs w:val="false"/>
                <w:i w:val="false"/>
                <w:iCs w:val="false"/>
                <w:caps w:val="false"/>
                <w:color w:val="2B3640"/>
                <w:sz w:val="21"/>
                <w:szCs w:val="21"/>
              </w:rPr>
              <w:t xml:space="preserve">with attention to sleep and pacing.</w:t>
            </w:r>
          </w:p>
        </w:tc>
      </w:tr>
    </w:tbl>
    <w:tbl>
      <w:tblPr>
        <w:tblW w:type="dxa" w:w="9746"/>
        <w:tblBorders>
          <w:top w:val="single" w:color="D34747" w:sz="2"/>
          <w:left w:val="single" w:color="D34747" w:sz="28"/>
          <w:bottom w:val="single" w:color="D34747" w:sz="2"/>
          <w:right w:val="single" w:color="D34747" w:sz="2"/>
          <w:insideH w:val="single" w:color="auto" w:sz="4"/>
          <w:insideV w:val="single" w:color="auto" w:sz="4"/>
        </w:tblBorders>
      </w:tblPr>
      <w:tblGrid>
        <w:gridCol w:w="9746"/>
      </w:tblGrid>
      <w:tr>
        <w:trPr>
          <w:cantSplit/>
        </w:trPr>
        <w:tc>
          <w:tcPr>
            <w:tcW w:type="dxa" w:w="9746"/>
            <w:shd w:fill="FBEAEA" w:val="clear"/>
            <w:tcMar>
              <w:top w:type="dxa" w:w="110"/>
              <w:left w:type="dxa" w:w="200"/>
              <w:bottom w:type="dxa" w:w="110"/>
              <w:right w:type="dxa" w:w="160"/>
            </w:tcMar>
          </w:tcPr>
          <w:p>
            <w:pPr>
              <w:spacing w:after="70" w:line="248" w:lineRule="auto"/>
            </w:pPr>
            <w:r>
              <w:rPr>
                <w:rFonts w:ascii="Arial" w:cs="Arial" w:eastAsia="Arial" w:hAnsi="Arial"/>
                <w:b/>
                <w:bCs/>
                <w:color w:val="B02A2A"/>
                <w:sz w:val="21"/>
                <w:szCs w:val="21"/>
              </w:rPr>
              <w:t xml:space="preserve">▲  DO NOT start these for chronic primary pain</w:t>
            </w:r>
          </w:p>
          <w:p>
            <w:pPr>
              <w:spacing w:after="60" w:line="252" w:lineRule="auto"/>
            </w:pPr>
            <w:r>
              <w:rPr>
                <w:rFonts w:ascii="Arial" w:cs="Arial" w:eastAsia="Arial" w:hAnsi="Arial"/>
                <w:b/>
                <w:bCs/>
                <w:i w:val="false"/>
                <w:iCs w:val="false"/>
                <w:caps w:val="false"/>
                <w:color w:val="B02A2A"/>
                <w:sz w:val="21"/>
                <w:szCs w:val="21"/>
              </w:rPr>
              <w:t xml:space="preserve">This is the major reversal from older teaching. NICE recommends NOT starting:</w:t>
            </w:r>
          </w:p>
          <w:p>
            <w:pPr>
              <w:pStyle w:val="ListParagraph"/>
              <w:numPr>
                <w:ilvl w:val="0"/>
                <w:numId w:val="4"/>
              </w:numPr>
              <w:spacing w:after="50" w:line="248" w:lineRule="auto"/>
            </w:pPr>
            <w:r>
              <w:rPr>
                <w:rFonts w:ascii="Arial" w:cs="Arial" w:eastAsia="Arial" w:hAnsi="Arial"/>
                <w:b/>
                <w:bCs/>
                <w:i w:val="false"/>
                <w:iCs w:val="false"/>
                <w:caps w:val="false"/>
                <w:color w:val="2B3640"/>
                <w:sz w:val="21"/>
                <w:szCs w:val="21"/>
              </w:rPr>
              <w:t xml:space="preserve">Paracetamol, NSAIDs and aspirin</w:t>
            </w:r>
          </w:p>
          <w:p>
            <w:pPr>
              <w:pStyle w:val="ListParagraph"/>
              <w:numPr>
                <w:ilvl w:val="0"/>
                <w:numId w:val="4"/>
              </w:numPr>
              <w:spacing w:after="50" w:line="248" w:lineRule="auto"/>
            </w:pPr>
            <w:r>
              <w:rPr>
                <w:rFonts w:ascii="Arial" w:cs="Arial" w:eastAsia="Arial" w:hAnsi="Arial"/>
                <w:b/>
                <w:bCs/>
                <w:i w:val="false"/>
                <w:iCs w:val="false"/>
                <w:caps w:val="false"/>
                <w:color w:val="2B3640"/>
                <w:sz w:val="21"/>
                <w:szCs w:val="21"/>
              </w:rPr>
              <w:t xml:space="preserve">Opioids — including tramadol</w:t>
            </w:r>
          </w:p>
          <w:p>
            <w:pPr>
              <w:pStyle w:val="ListParagraph"/>
              <w:numPr>
                <w:ilvl w:val="0"/>
                <w:numId w:val="4"/>
              </w:numPr>
              <w:spacing w:after="50" w:line="248" w:lineRule="auto"/>
            </w:pPr>
            <w:r>
              <w:rPr>
                <w:rFonts w:ascii="Arial" w:cs="Arial" w:eastAsia="Arial" w:hAnsi="Arial"/>
                <w:b/>
                <w:bCs/>
                <w:i w:val="false"/>
                <w:iCs w:val="false"/>
                <w:caps w:val="false"/>
                <w:color w:val="2B3640"/>
                <w:sz w:val="21"/>
                <w:szCs w:val="21"/>
              </w:rPr>
              <w:t xml:space="preserve">Gabapentinoids — pregabalin and gabapentin</w:t>
            </w:r>
          </w:p>
          <w:p>
            <w:pPr>
              <w:pStyle w:val="ListParagraph"/>
              <w:numPr>
                <w:ilvl w:val="0"/>
                <w:numId w:val="4"/>
              </w:numPr>
              <w:spacing w:after="50" w:line="248" w:lineRule="auto"/>
            </w:pPr>
            <w:r>
              <w:rPr>
                <w:rFonts w:ascii="Arial" w:cs="Arial" w:eastAsia="Arial" w:hAnsi="Arial"/>
                <w:b/>
                <w:bCs/>
                <w:i w:val="false"/>
                <w:iCs w:val="false"/>
                <w:caps w:val="false"/>
                <w:color w:val="2B3640"/>
                <w:sz w:val="21"/>
                <w:szCs w:val="21"/>
              </w:rPr>
              <w:t xml:space="preserve">Benzodiazepines</w:t>
            </w:r>
          </w:p>
          <w:p>
            <w:pPr>
              <w:spacing w:after="0" w:line="252" w:lineRule="auto"/>
            </w:pPr>
            <w:r>
              <w:rPr>
                <w:rFonts w:ascii="Arial" w:cs="Arial" w:eastAsia="Arial" w:hAnsi="Arial"/>
                <w:b w:val="false"/>
                <w:bCs w:val="false"/>
                <w:i w:val="false"/>
                <w:iCs w:val="false"/>
                <w:caps w:val="false"/>
                <w:color w:val="2B3640"/>
                <w:sz w:val="21"/>
                <w:szCs w:val="21"/>
              </w:rPr>
              <w:t xml:space="preserve">If a patient is already established on one of these without benefit, discuss and support a careful, shared-decision withdrawal.</w:t>
            </w:r>
          </w:p>
        </w:tc>
      </w:tr>
    </w:tbl>
    <w:tbl>
      <w:tblPr>
        <w:tblW w:type="dxa" w:w="9746"/>
        <w:tblBorders>
          <w:top w:val="single" w:color="E08600" w:sz="2"/>
          <w:left w:val="single" w:color="E08600" w:sz="28"/>
          <w:bottom w:val="single" w:color="E08600" w:sz="2"/>
          <w:right w:val="single" w:color="E08600" w:sz="2"/>
          <w:insideH w:val="single" w:color="auto" w:sz="4"/>
          <w:insideV w:val="single" w:color="auto" w:sz="4"/>
        </w:tblBorders>
      </w:tblPr>
      <w:tblGrid>
        <w:gridCol w:w="9746"/>
      </w:tblGrid>
      <w:tr>
        <w:trPr>
          <w:cantSplit/>
        </w:trPr>
        <w:tc>
          <w:tcPr>
            <w:tcW w:type="dxa" w:w="9746"/>
            <w:shd w:fill="FEF4E2" w:val="clear"/>
            <w:tcMar>
              <w:top w:type="dxa" w:w="110"/>
              <w:left w:type="dxa" w:w="200"/>
              <w:bottom w:type="dxa" w:w="110"/>
              <w:right w:type="dxa" w:w="160"/>
            </w:tcMar>
          </w:tcPr>
          <w:p>
            <w:pPr>
              <w:spacing w:after="70" w:line="248" w:lineRule="auto"/>
            </w:pPr>
            <w:r>
              <w:rPr>
                <w:rFonts w:ascii="Arial" w:cs="Arial" w:eastAsia="Arial" w:hAnsi="Arial"/>
                <w:b/>
                <w:bCs/>
                <w:color w:val="9A5B00"/>
                <w:sz w:val="21"/>
                <w:szCs w:val="21"/>
              </w:rPr>
              <w:t xml:space="preserve">◆  The one medicine group to CONSIDER</w:t>
            </w:r>
          </w:p>
          <w:p>
            <w:pPr>
              <w:spacing w:after="60" w:line="252" w:lineRule="auto"/>
            </w:pPr>
            <w:r>
              <w:rPr>
                <w:rFonts w:ascii="Arial" w:cs="Arial" w:eastAsia="Arial" w:hAnsi="Arial"/>
                <w:b/>
                <w:bCs/>
                <w:i w:val="false"/>
                <w:iCs w:val="false"/>
                <w:caps w:val="false"/>
                <w:color w:val="9A5B00"/>
                <w:sz w:val="21"/>
                <w:szCs w:val="21"/>
              </w:rPr>
              <w:t xml:space="preserve">NICE says you may consider an antidepressant for people with chronic primary pain — even in the absence of depression — because it can help pain, sleep, distress and quality of life.</w:t>
            </w:r>
          </w:p>
          <w:p>
            <w:pPr>
              <w:pStyle w:val="ListParagraph"/>
              <w:numPr>
                <w:ilvl w:val="0"/>
                <w:numId w:val="5"/>
              </w:numPr>
              <w:spacing w:after="50" w:line="248" w:lineRule="auto"/>
            </w:pPr>
            <w:r>
              <w:rPr>
                <w:rFonts w:ascii="Arial" w:cs="Arial" w:eastAsia="Arial" w:hAnsi="Arial"/>
                <w:b/>
                <w:bCs/>
                <w:i w:val="false"/>
                <w:iCs w:val="false"/>
                <w:caps w:val="false"/>
                <w:color w:val="2B3640"/>
                <w:sz w:val="21"/>
                <w:szCs w:val="21"/>
              </w:rPr>
              <w:t xml:space="preserve">Options: </w:t>
            </w:r>
            <w:r>
              <w:rPr>
                <w:rFonts w:ascii="Arial" w:cs="Arial" w:eastAsia="Arial" w:hAnsi="Arial"/>
                <w:b w:val="false"/>
                <w:bCs w:val="false"/>
                <w:i w:val="false"/>
                <w:iCs w:val="false"/>
                <w:caps w:val="false"/>
                <w:color w:val="2B3640"/>
                <w:sz w:val="21"/>
                <w:szCs w:val="21"/>
              </w:rPr>
              <w:t xml:space="preserve">amitriptyline, duloxetine, fluoxetine, citalopram, paroxetine or sertraline (most are off-label for pain — explain this).</w:t>
            </w:r>
          </w:p>
          <w:p>
            <w:pPr>
              <w:pStyle w:val="ListParagraph"/>
              <w:numPr>
                <w:ilvl w:val="0"/>
                <w:numId w:val="5"/>
              </w:numPr>
              <w:spacing w:after="50" w:line="248" w:lineRule="auto"/>
            </w:pPr>
            <w:r>
              <w:rPr>
                <w:rFonts w:ascii="Arial" w:cs="Arial" w:eastAsia="Arial" w:hAnsi="Arial"/>
                <w:b/>
                <w:bCs/>
                <w:i w:val="false"/>
                <w:iCs w:val="false"/>
                <w:caps w:val="false"/>
                <w:color w:val="2B3640"/>
                <w:sz w:val="21"/>
                <w:szCs w:val="21"/>
              </w:rPr>
              <w:t xml:space="preserve">Duloxetine </w:t>
            </w:r>
            <w:r>
              <w:rPr>
                <w:rFonts w:ascii="Arial" w:cs="Arial" w:eastAsia="Arial" w:hAnsi="Arial"/>
                <w:b w:val="false"/>
                <w:bCs w:val="false"/>
                <w:i w:val="false"/>
                <w:iCs w:val="false"/>
                <w:caps w:val="false"/>
                <w:color w:val="2B3640"/>
                <w:sz w:val="21"/>
                <w:szCs w:val="21"/>
              </w:rPr>
              <w:t xml:space="preserve">has the strongest evidence base in fibromyalgia.</w:t>
            </w:r>
          </w:p>
          <w:p>
            <w:pPr>
              <w:pStyle w:val="ListParagraph"/>
              <w:numPr>
                <w:ilvl w:val="0"/>
                <w:numId w:val="5"/>
              </w:numPr>
              <w:spacing w:after="0" w:line="248" w:lineRule="auto"/>
            </w:pPr>
            <w:r>
              <w:rPr>
                <w:rFonts w:ascii="Arial" w:cs="Arial" w:eastAsia="Arial" w:hAnsi="Arial"/>
                <w:b w:val="false"/>
                <w:bCs w:val="false"/>
                <w:i w:val="false"/>
                <w:iCs w:val="false"/>
                <w:caps w:val="false"/>
                <w:color w:val="2B3640"/>
                <w:sz w:val="21"/>
                <w:szCs w:val="21"/>
              </w:rPr>
              <w:t xml:space="preserve">Start low, review benefit honestly, and stop if it isn't helping.</w:t>
            </w:r>
          </w:p>
        </w:tc>
      </w:tr>
    </w:tbl>
    <w:tbl>
      <w:tblPr>
        <w:tblW w:type="dxa" w:w="9746"/>
        <w:tblBorders>
          <w:top w:val="single" w:color="E08600" w:sz="2"/>
          <w:left w:val="single" w:color="E08600" w:sz="28"/>
          <w:bottom w:val="single" w:color="E08600" w:sz="2"/>
          <w:right w:val="single" w:color="E08600" w:sz="2"/>
          <w:insideH w:val="single" w:color="auto" w:sz="4"/>
          <w:insideV w:val="single" w:color="auto" w:sz="4"/>
        </w:tblBorders>
      </w:tblPr>
      <w:tblGrid>
        <w:gridCol w:w="9746"/>
      </w:tblGrid>
      <w:tr>
        <w:trPr>
          <w:cantSplit/>
        </w:trPr>
        <w:tc>
          <w:tcPr>
            <w:tcW w:type="dxa" w:w="9746"/>
            <w:shd w:fill="FEF4E2" w:val="clear"/>
            <w:tcMar>
              <w:top w:type="dxa" w:w="110"/>
              <w:left w:type="dxa" w:w="200"/>
              <w:bottom w:type="dxa" w:w="110"/>
              <w:right w:type="dxa" w:w="160"/>
            </w:tcMar>
          </w:tcPr>
          <w:p>
            <w:pPr>
              <w:spacing w:after="70" w:line="248" w:lineRule="auto"/>
            </w:pPr>
            <w:r>
              <w:rPr>
                <w:rFonts w:ascii="Arial" w:cs="Arial" w:eastAsia="Arial" w:hAnsi="Arial"/>
                <w:b/>
                <w:bCs/>
                <w:color w:val="9A5B00"/>
                <w:sz w:val="21"/>
                <w:szCs w:val="21"/>
              </w:rPr>
              <w:t xml:space="preserve">◆  What's changed from older teaching</w:t>
            </w:r>
          </w:p>
          <w:p>
            <w:pPr>
              <w:pStyle w:val="ListParagraph"/>
              <w:numPr>
                <w:ilvl w:val="0"/>
                <w:numId w:val="5"/>
              </w:numPr>
              <w:spacing w:after="50" w:line="248" w:lineRule="auto"/>
            </w:pPr>
            <w:r>
              <w:rPr>
                <w:rFonts w:ascii="Arial" w:cs="Arial" w:eastAsia="Arial" w:hAnsi="Arial"/>
                <w:b/>
                <w:bCs/>
                <w:i w:val="false"/>
                <w:iCs w:val="false"/>
                <w:caps w:val="false"/>
                <w:color w:val="2B3640"/>
                <w:sz w:val="21"/>
                <w:szCs w:val="21"/>
              </w:rPr>
              <w:t xml:space="preserve">Tender-point count abandoned</w:t>
            </w:r>
            <w:r>
              <w:rPr>
                <w:rFonts w:ascii="Arial" w:cs="Arial" w:eastAsia="Arial" w:hAnsi="Arial"/>
                <w:b w:val="false"/>
                <w:bCs w:val="false"/>
                <w:i w:val="false"/>
                <w:iCs w:val="false"/>
                <w:caps w:val="false"/>
                <w:color w:val="2B3640"/>
                <w:sz w:val="21"/>
                <w:szCs w:val="21"/>
              </w:rPr>
              <w:t xml:space="preserve"> — diagnosis is now by symptom-based criteria.</w:t>
            </w:r>
          </w:p>
          <w:p>
            <w:pPr>
              <w:pStyle w:val="ListParagraph"/>
              <w:numPr>
                <w:ilvl w:val="0"/>
                <w:numId w:val="5"/>
              </w:numPr>
              <w:spacing w:after="50" w:line="248" w:lineRule="auto"/>
            </w:pPr>
            <w:r>
              <w:rPr>
                <w:rFonts w:ascii="Arial" w:cs="Arial" w:eastAsia="Arial" w:hAnsi="Arial"/>
                <w:b/>
                <w:bCs/>
                <w:i w:val="false"/>
                <w:iCs w:val="false"/>
                <w:caps w:val="false"/>
                <w:color w:val="2B3640"/>
                <w:sz w:val="21"/>
                <w:szCs w:val="21"/>
              </w:rPr>
              <w:t xml:space="preserve">Analgesics, opioids and gabapentinoids are no longer recommended</w:t>
            </w:r>
            <w:r>
              <w:rPr>
                <w:rFonts w:ascii="Arial" w:cs="Arial" w:eastAsia="Arial" w:hAnsi="Arial"/>
                <w:b w:val="false"/>
                <w:bCs w:val="false"/>
                <w:i w:val="false"/>
                <w:iCs w:val="false"/>
                <w:caps w:val="false"/>
                <w:color w:val="2B3640"/>
                <w:sz w:val="21"/>
                <w:szCs w:val="21"/>
              </w:rPr>
              <w:t xml:space="preserve"> — a complete reversal of the old drug ladder.</w:t>
            </w:r>
          </w:p>
          <w:p>
            <w:pPr>
              <w:pStyle w:val="ListParagraph"/>
              <w:numPr>
                <w:ilvl w:val="0"/>
                <w:numId w:val="5"/>
              </w:numPr>
              <w:spacing w:after="0" w:line="248" w:lineRule="auto"/>
            </w:pPr>
            <w:r>
              <w:rPr>
                <w:rFonts w:ascii="Arial" w:cs="Arial" w:eastAsia="Arial" w:hAnsi="Arial"/>
                <w:b/>
                <w:bCs/>
                <w:i w:val="false"/>
                <w:iCs w:val="false"/>
                <w:caps w:val="false"/>
                <w:color w:val="2B3640"/>
                <w:sz w:val="21"/>
                <w:szCs w:val="21"/>
              </w:rPr>
              <w:t xml:space="preserve">Exercise, psychological therapy and explanation are now the core</w:t>
            </w:r>
            <w:r>
              <w:rPr>
                <w:rFonts w:ascii="Arial" w:cs="Arial" w:eastAsia="Arial" w:hAnsi="Arial"/>
                <w:b w:val="false"/>
                <w:bCs w:val="false"/>
                <w:i w:val="false"/>
                <w:iCs w:val="false"/>
                <w:caps w:val="false"/>
                <w:color w:val="2B3640"/>
                <w:sz w:val="21"/>
                <w:szCs w:val="21"/>
              </w:rPr>
              <w:t xml:space="preserve">; an antidepressant is the only medicine to consider.</w:t>
            </w:r>
          </w:p>
        </w:tc>
      </w:tr>
    </w:tbl>
    <w:tbl>
      <w:tblPr>
        <w:tblW w:type="dxa" w:w="9746"/>
        <w:tblBorders>
          <w:top w:val="single" w:color="7A4FA3" w:sz="2"/>
          <w:left w:val="single" w:color="7A4FA3" w:sz="28"/>
          <w:bottom w:val="single" w:color="7A4FA3" w:sz="2"/>
          <w:right w:val="single" w:color="7A4FA3" w:sz="2"/>
          <w:insideH w:val="single" w:color="auto" w:sz="4"/>
          <w:insideV w:val="single" w:color="auto" w:sz="4"/>
        </w:tblBorders>
      </w:tblPr>
      <w:tblGrid>
        <w:gridCol w:w="9746"/>
      </w:tblGrid>
      <w:tr>
        <w:trPr>
          <w:cantSplit/>
        </w:trPr>
        <w:tc>
          <w:tcPr>
            <w:tcW w:type="dxa" w:w="9746"/>
            <w:shd w:fill="F1EAF8" w:val="clear"/>
            <w:tcMar>
              <w:top w:type="dxa" w:w="110"/>
              <w:left w:type="dxa" w:w="200"/>
              <w:bottom w:type="dxa" w:w="110"/>
              <w:right w:type="dxa" w:w="160"/>
            </w:tcMar>
          </w:tcPr>
          <w:p>
            <w:pPr>
              <w:spacing w:after="70" w:line="248" w:lineRule="auto"/>
            </w:pPr>
            <w:r>
              <w:rPr>
                <w:rFonts w:ascii="Arial" w:cs="Arial" w:eastAsia="Arial" w:hAnsi="Arial"/>
                <w:b/>
                <w:bCs/>
                <w:color w:val="5E3A82"/>
                <w:sz w:val="21"/>
                <w:szCs w:val="21"/>
              </w:rPr>
              <w:t xml:space="preserve">■  Disclaimer &amp; verification</w:t>
            </w:r>
          </w:p>
          <w:p>
            <w:pPr>
              <w:spacing w:after="60" w:line="252" w:lineRule="auto"/>
            </w:pPr>
            <w:r>
              <w:rPr>
                <w:rFonts w:ascii="Arial" w:cs="Arial" w:eastAsia="Arial" w:hAnsi="Arial"/>
                <w:b/>
                <w:bCs/>
                <w:i w:val="false"/>
                <w:iCs w:val="false"/>
                <w:caps w:val="false"/>
                <w:color w:val="5E3A82"/>
                <w:sz w:val="21"/>
                <w:szCs w:val="21"/>
              </w:rPr>
              <w:t xml:space="preserve">Key sources used for this update: </w:t>
            </w:r>
            <w:r>
              <w:rPr>
                <w:rFonts w:ascii="Arial" w:cs="Arial" w:eastAsia="Arial" w:hAnsi="Arial"/>
                <w:b w:val="false"/>
                <w:bCs w:val="false"/>
                <w:i w:val="false"/>
                <w:iCs w:val="false"/>
                <w:caps w:val="false"/>
                <w:color w:val="2B3640"/>
                <w:sz w:val="21"/>
                <w:szCs w:val="21"/>
              </w:rPr>
              <w:t xml:space="preserve">NICE NG193 Chronic pain (primary and secondary) in over 16s: assessment of all chronic pain and management of chronic primary pain (2021); NICE CKS Fibromyalgia; BNF (antidepressants used in pain).</w:t>
            </w:r>
          </w:p>
          <w:p>
            <w:pPr>
              <w:spacing w:after="0" w:line="252" w:lineRule="auto"/>
            </w:pPr>
            <w:r>
              <w:rPr>
                <w:rFonts w:ascii="Arial" w:cs="Arial" w:eastAsia="Arial" w:hAnsi="Arial"/>
                <w:b w:val="false"/>
                <w:bCs w:val="false"/>
                <w:i w:val="false"/>
                <w:iCs w:val="false"/>
                <w:caps w:val="false"/>
                <w:color w:val="2B3640"/>
                <w:sz w:val="21"/>
                <w:szCs w:val="21"/>
              </w:rPr>
              <w:t xml:space="preserve">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(e.g. NICE, NICE CKS, BNF), local policies and the relevant regulatory bodies before applying anything in practice.</w:t>
            </w:r>
          </w:p>
        </w:tc>
      </w:tr>
    </w:tbl>
    <w:sectPr>
      <w:footerReference w:type="default" r:id="rId7"/>
      <w:pgSz w:w="11906" w:h="16838" w:orient="portrait"/>
      <w:pgMar w:top="1134" w:right="1080" w:bottom="1191" w:left="1080" w:header="680" w:footer="560"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2661A" w:sz="8" w:space="4"/>
      </w:pBdr>
      <w:spacing w:after="20" w:before="40"/>
    </w:pPr>
  </w:p>
  <w:p>
    <w:pPr>
      <w:tabs>
        <w:tab w:val="right" w:pos="9746"/>
      </w:tabs>
      <w:spacing w:after="0" w:line="224" w:lineRule="auto"/>
    </w:pPr>
    <w:r>
      <w:rPr>
        <w:rFonts w:ascii="Arial" w:cs="Arial" w:eastAsia="Arial" w:hAnsi="Arial"/>
        <w:i/>
        <w:iCs/>
        <w:color w:val="5A636E"/>
        <w:sz w:val="14"/>
        <w:szCs w:val="14"/>
      </w:rPr>
      <w:t xml:space="preserve">Fibromyalgia — Bradford VTS Teaching Aid</w:t>
    </w:r>
    <w:r>
      <w:rPr>
        <w:rFonts w:ascii="Arial" w:cs="Arial" w:eastAsia="Arial" w:hAnsi="Arial"/>
        <w:sz w:val="14"/>
        <w:szCs w:val="14"/>
      </w:rPr>
      <w:t xml:space="preserve">	</w:t>
    </w:r>
    <w:r>
      <w:rPr>
        <w:rFonts w:ascii="Arial" w:cs="Arial" w:eastAsia="Arial" w:hAnsi="Arial"/>
        <w:color w:val="5A636E"/>
        <w:sz w:val="14"/>
        <w:szCs w:val="14"/>
      </w:rPr>
      <w:t xml:space="preserve">bradfordvts.co.uk   ·   Page </w:t>
    </w:r>
    <w:r>
      <w:rPr>
        <w:rFonts w:ascii="Arial" w:cs="Arial" w:eastAsia="Arial" w:hAnsi="Arial"/>
        <w:b/>
        <w:bCs/>
        <w:color w:val="5A636E"/>
        <w:sz w:val="14"/>
        <w:szCs w:val="14"/>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A636E"/>
      </w:rPr>
    </w:lvl>
  </w:abstractNum>
  <w:abstractNum w:abstractNumId="3" w15:restartNumberingAfterBreak="0">
    <w:multiLevelType w:val="hybridMultilevel"/>
    <w:lvl w:ilvl="0" w15:tentative="1">
      <w:start w:val="1"/>
      <w:numFmt w:val="bullet"/>
      <w:lvlText w:val="•"/>
      <w:lvlJc w:val="left"/>
      <w:pPr>
        <w:ind w:left="320" w:hanging="210"/>
      </w:pPr>
      <w:rPr>
        <w:color w:val="2EA057"/>
      </w:rPr>
    </w:lvl>
  </w:abstractNum>
  <w:abstractNum w:abstractNumId="4" w15:restartNumberingAfterBreak="0">
    <w:multiLevelType w:val="hybridMultilevel"/>
    <w:lvl w:ilvl="0" w15:tentative="1">
      <w:start w:val="1"/>
      <w:numFmt w:val="bullet"/>
      <w:lvlText w:val="•"/>
      <w:lvlJc w:val="left"/>
      <w:pPr>
        <w:ind w:left="320" w:hanging="210"/>
      </w:pPr>
      <w:rPr>
        <w:color w:val="D34747"/>
      </w:rPr>
    </w:lvl>
  </w:abstractNum>
  <w:abstractNum w:abstractNumId="5" w15:restartNumberingAfterBreak="0">
    <w:multiLevelType w:val="hybridMultilevel"/>
    <w:lvl w:ilvl="0" w15:tentative="1">
      <w:start w:val="1"/>
      <w:numFmt w:val="bullet"/>
      <w:lvlText w:val="•"/>
      <w:lvlJc w:val="left"/>
      <w:pPr>
        <w:ind w:left="320" w:hanging="210"/>
      </w:pPr>
      <w:rPr>
        <w:color w:val="E08600"/>
      </w:rPr>
    </w:lvl>
  </w:abstractNum>
  <w:abstractNum w:abstractNumId="6" w15:restartNumberingAfterBreak="0">
    <w:multiLevelType w:val="hybridMultilevel"/>
    <w:lvl w:ilvl="0" w15:tentative="1">
      <w:start w:val="1"/>
      <w:numFmt w:val="bullet"/>
      <w:lvlText w:val="•"/>
      <w:lvlJc w:val="left"/>
      <w:pPr>
        <w:ind w:left="320" w:hanging="210"/>
      </w:pPr>
      <w:rPr>
        <w:color w:val="2E75B6"/>
      </w:rPr>
    </w:lvl>
  </w:abstractNum>
  <w:abstractNum w:abstractNumId="7" w15:restartNumberingAfterBreak="0">
    <w:multiLevelType w:val="hybridMultilevel"/>
    <w:lvl w:ilvl="0" w15:tentative="1">
      <w:start w:val="1"/>
      <w:numFmt w:val="bullet"/>
      <w:lvlText w:val="•"/>
      <w:lvlJc w:val="left"/>
      <w:pPr>
        <w:ind w:left="320" w:hanging="210"/>
      </w:pPr>
      <w:rPr>
        <w:color w:val="7A4FA3"/>
      </w:rPr>
    </w:lvl>
  </w:abstractNum>
  <w:abstractNum w:abstractNumId="8" w15:restartNumberingAfterBreak="0">
    <w:multiLevelType w:val="hybridMultilevel"/>
    <w:lvl w:ilvl="0" w15:tentative="1">
      <w:start w:val="1"/>
      <w:numFmt w:val="bullet"/>
      <w:lvlText w:val="•"/>
      <w:lvlJc w:val="left"/>
      <w:pPr>
        <w:ind w:left="320" w:hanging="210"/>
      </w:pPr>
      <w:rPr>
        <w:color w:val="1F9E94"/>
      </w:rPr>
    </w:lvl>
  </w:abstractNum>
  <w:abstractNum w:abstractNumId="9" w15:restartNumberingAfterBreak="0">
    <w:multiLevelType w:val="hybridMultilevel"/>
    <w:lvl w:ilvl="0" w15:tentative="1">
      <w:start w:val="1"/>
      <w:numFmt w:val="decimal"/>
      <w:lvlText w:val="%1."/>
      <w:lvlJc w:val="left"/>
      <w:pPr>
        <w:ind w:left="380" w:hanging="250"/>
      </w:pPr>
      <w:rPr>
        <w:b/>
        <w:bCs/>
        <w:color w:val="C0530F"/>
      </w:rPr>
    </w:lvl>
  </w:abstractNum>
  <w:abstractNum w:abstractNumId="10" w15:restartNumberingAfterBreak="0">
    <w:multiLevelType w:val="hybridMultilevel"/>
    <w:lvl w:ilvl="0" w15:tentative="1">
      <w:start w:val="1"/>
      <w:numFmt w:val="decimal"/>
      <w:lvlText w:val="%1."/>
      <w:lvlJc w:val="left"/>
      <w:pPr>
        <w:ind w:left="380" w:hanging="250"/>
      </w:pPr>
      <w:rPr>
        <w:b/>
        <w:bCs/>
        <w:color w:val="C0530F"/>
      </w:rPr>
    </w:lvl>
  </w:abstractNum>
  <w:abstractNum w:abstractNumId="11" w15:restartNumberingAfterBreak="0">
    <w:multiLevelType w:val="hybridMultilevel"/>
    <w:lvl w:ilvl="0" w15:tentative="1">
      <w:start w:val="1"/>
      <w:numFmt w:val="decimal"/>
      <w:lvlText w:val="%1"/>
      <w:lvlJc w:val="center"/>
      <w:pPr>
        <w:ind w:left="380" w:hanging="250"/>
      </w:pPr>
      <w:rPr>
        <w:b/>
        <w:bCs/>
        <w:color w:val="FFFFFF"/>
      </w:rPr>
    </w:lvl>
  </w:abstractNum>
  <w:num w:numId="1">
    <w:abstractNumId w:val="1"/>
    <w:lvlOverride w:ilvl="0">
      <w:startOverride w:val="1"/>
    </w:lvlOverride>
  </w:num>
  <w:num w:numId="2">
    <w:abstractNumId w:val="6"/>
    <w:lvlOverride w:ilvl="0">
      <w:startOverride w:val="1"/>
    </w:lvlOverride>
  </w:num>
  <w:num w:numId="3">
    <w:abstractNumId w:val="3"/>
    <w:lvlOverride w:ilvl="0">
      <w:startOverride w:val="1"/>
    </w:lvlOverride>
  </w:num>
  <w:num w:numId="4">
    <w:abstractNumId w:val="4"/>
    <w:lvlOverride w:ilvl="0">
      <w:startOverride w:val="1"/>
    </w:lvlOverride>
  </w:num>
  <w:num w:numId="5">
    <w:abstractNumId w:val="5"/>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B3640"/>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2026-06-19T14:20:05.668Z</dcterms:created>
  <dcterms:modified xsi:type="dcterms:W3CDTF">2026-06-19T14:20:05.668Z</dcterms:modified>
</cp:coreProperties>
</file>

<file path=docProps/custom.xml><?xml version="1.0" encoding="utf-8"?>
<Properties xmlns="http://schemas.openxmlformats.org/officeDocument/2006/custom-properties" xmlns:vt="http://schemas.openxmlformats.org/officeDocument/2006/docPropsVTypes"/>
</file>