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746"/>
      </w:tblGrid>
      <w:tr w:rsidR="00B571CE" w14:paraId="126DC4BF"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60AE1BCF" w14:textId="77777777" w:rsidR="00B571CE" w:rsidRDefault="00000000">
            <w:r>
              <w:rPr>
                <w:b/>
                <w:bCs/>
                <w:color w:val="FFFFFF"/>
                <w:spacing w:val="40"/>
                <w:sz w:val="26"/>
                <w:szCs w:val="26"/>
              </w:rPr>
              <w:t>BRADFORD VTS TEACHING AIDS</w:t>
            </w:r>
          </w:p>
        </w:tc>
      </w:tr>
    </w:tbl>
    <w:p w14:paraId="1821801F" w14:textId="77777777" w:rsidR="00B571CE" w:rsidRDefault="00B571CE">
      <w:pPr>
        <w:spacing w:after="60"/>
      </w:pPr>
    </w:p>
    <w:p w14:paraId="583CE998" w14:textId="77777777" w:rsidR="00B571CE" w:rsidRDefault="00000000">
      <w:pPr>
        <w:keepNext/>
        <w:spacing w:before="60" w:after="30" w:line="320" w:lineRule="auto"/>
      </w:pPr>
      <w:r>
        <w:rPr>
          <w:b/>
          <w:bCs/>
          <w:color w:val="1F2A36"/>
          <w:sz w:val="48"/>
          <w:szCs w:val="48"/>
        </w:rPr>
        <w:t>Joint Hypermobility — Scoring &amp; Assessment</w:t>
      </w:r>
    </w:p>
    <w:p w14:paraId="33DA5F3C" w14:textId="77777777" w:rsidR="00B571CE" w:rsidRDefault="00B571CE">
      <w:pPr>
        <w:pBdr>
          <w:bottom w:val="single" w:sz="22" w:space="1" w:color="2E75B6"/>
        </w:pBdr>
        <w:spacing w:after="60"/>
      </w:pPr>
    </w:p>
    <w:p w14:paraId="5B8453AB" w14:textId="77777777" w:rsidR="00B571CE" w:rsidRDefault="00000000">
      <w:pPr>
        <w:tabs>
          <w:tab w:val="right" w:pos="9746"/>
        </w:tabs>
        <w:spacing w:before="40" w:after="200"/>
      </w:pPr>
      <w:r>
        <w:rPr>
          <w:b/>
          <w:bCs/>
          <w:color w:val="2E75B6"/>
          <w:spacing w:val="12"/>
          <w:sz w:val="20"/>
          <w:szCs w:val="20"/>
        </w:rPr>
        <w:t xml:space="preserve">MSK Teaching </w:t>
      </w:r>
      <w:proofErr w:type="gramStart"/>
      <w:r>
        <w:rPr>
          <w:b/>
          <w:bCs/>
          <w:color w:val="2E75B6"/>
          <w:spacing w:val="12"/>
          <w:sz w:val="20"/>
          <w:szCs w:val="20"/>
        </w:rPr>
        <w:t>Series  ·</w:t>
      </w:r>
      <w:proofErr w:type="gramEnd"/>
      <w:r>
        <w:rPr>
          <w:b/>
          <w:bCs/>
          <w:color w:val="2E75B6"/>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9651"/>
        <w:gridCol w:w="35"/>
      </w:tblGrid>
      <w:tr w:rsidR="00B571CE" w14:paraId="7A17439B"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7E8A9CE9" w14:textId="77777777" w:rsidR="00B571CE" w:rsidRDefault="00000000">
            <w:pPr>
              <w:spacing w:after="70" w:line="248" w:lineRule="auto"/>
            </w:pPr>
            <w:proofErr w:type="gramStart"/>
            <w:r>
              <w:rPr>
                <w:b/>
                <w:bCs/>
                <w:color w:val="1E7A40"/>
              </w:rPr>
              <w:t>✓  In</w:t>
            </w:r>
            <w:proofErr w:type="gramEnd"/>
            <w:r>
              <w:rPr>
                <w:b/>
                <w:bCs/>
                <w:color w:val="1E7A40"/>
              </w:rPr>
              <w:t xml:space="preserve"> a nutshell</w:t>
            </w:r>
          </w:p>
          <w:p w14:paraId="26B29606" w14:textId="77777777" w:rsidR="00B571CE" w:rsidRDefault="00000000">
            <w:pPr>
              <w:spacing w:after="60" w:line="252" w:lineRule="auto"/>
            </w:pPr>
            <w:r>
              <w:rPr>
                <w:b/>
                <w:bCs/>
              </w:rPr>
              <w:t>The Beighton score (0–9) measures generalised joint hypermobility (GJH) — how bendy the joints are. It does not, by itself, make any diagnosis.</w:t>
            </w:r>
          </w:p>
          <w:p w14:paraId="2C3235EE" w14:textId="77777777" w:rsidR="00B571CE" w:rsidRDefault="00000000">
            <w:pPr>
              <w:spacing w:after="60" w:line="252" w:lineRule="auto"/>
            </w:pPr>
            <w:r>
              <w:rPr>
                <w:b/>
                <w:bCs/>
              </w:rPr>
              <w:t xml:space="preserve">Hypermobility is common and often benign. </w:t>
            </w:r>
            <w:r>
              <w:t>It becomes relevant when it is symptomatic — and may underlie 30–40% of the MSK presentations you see.</w:t>
            </w:r>
          </w:p>
          <w:p w14:paraId="1D4BA575" w14:textId="77777777" w:rsidR="00B571CE" w:rsidRDefault="00000000">
            <w:pPr>
              <w:spacing w:line="252" w:lineRule="auto"/>
            </w:pPr>
            <w:r>
              <w:rPr>
                <w:b/>
                <w:bCs/>
              </w:rPr>
              <w:t xml:space="preserve">The old 'Brighton / joint hypermobility syndrome' label is superseded. </w:t>
            </w:r>
            <w:r>
              <w:t>Symptomatic hypermobility is now framed as hypermobile EDS (</w:t>
            </w:r>
            <w:proofErr w:type="spellStart"/>
            <w:r>
              <w:t>hEDS</w:t>
            </w:r>
            <w:proofErr w:type="spellEnd"/>
            <w:r>
              <w:t>) or hypermobility spectrum disorder (HSD).</w:t>
            </w:r>
          </w:p>
        </w:tc>
      </w:tr>
      <w:tr w:rsidR="00B571CE" w14:paraId="0EACD1BE"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2E75B6"/>
            <w:tcMar>
              <w:top w:w="0" w:type="dxa"/>
              <w:left w:w="0" w:type="dxa"/>
              <w:bottom w:w="0" w:type="dxa"/>
              <w:right w:w="0" w:type="dxa"/>
            </w:tcMar>
          </w:tcPr>
          <w:p w14:paraId="698983CC" w14:textId="77777777" w:rsidR="00B571CE" w:rsidRDefault="00B571CE"/>
        </w:tc>
        <w:tc>
          <w:tcPr>
            <w:tcW w:w="9686" w:type="dxa"/>
            <w:shd w:val="clear" w:color="auto" w:fill="F4F6F8"/>
            <w:tcMar>
              <w:top w:w="70" w:type="dxa"/>
              <w:left w:w="150" w:type="dxa"/>
              <w:bottom w:w="70" w:type="dxa"/>
              <w:right w:w="120" w:type="dxa"/>
            </w:tcMar>
            <w:vAlign w:val="center"/>
          </w:tcPr>
          <w:p w14:paraId="5B9217ED" w14:textId="77777777" w:rsidR="00B571CE" w:rsidRDefault="00000000">
            <w:pPr>
              <w:spacing w:line="252" w:lineRule="auto"/>
            </w:pPr>
            <w:r>
              <w:rPr>
                <w:b/>
                <w:bCs/>
                <w:color w:val="21303D"/>
                <w:sz w:val="27"/>
                <w:szCs w:val="27"/>
              </w:rPr>
              <w:t xml:space="preserve">The Beighton </w:t>
            </w:r>
            <w:proofErr w:type="gramStart"/>
            <w:r>
              <w:rPr>
                <w:b/>
                <w:bCs/>
                <w:color w:val="21303D"/>
                <w:sz w:val="27"/>
                <w:szCs w:val="27"/>
              </w:rPr>
              <w:t>score  ·</w:t>
            </w:r>
            <w:proofErr w:type="gramEnd"/>
            <w:r>
              <w:rPr>
                <w:b/>
                <w:bCs/>
                <w:color w:val="21303D"/>
                <w:sz w:val="27"/>
                <w:szCs w:val="27"/>
              </w:rPr>
              <w:t xml:space="preserve">  Five manoeuvres, nine points</w:t>
            </w:r>
          </w:p>
        </w:tc>
      </w:tr>
    </w:tbl>
    <w:p w14:paraId="16F7160E" w14:textId="77777777" w:rsidR="00B571CE" w:rsidRDefault="00000000">
      <w:pPr>
        <w:spacing w:after="120" w:line="264" w:lineRule="auto"/>
      </w:pPr>
      <w:r>
        <w:t>One point is awarded for each side that performs a manoeuvre, plus one for the forward-bend — giving a maximum of 9.</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6846"/>
        <w:gridCol w:w="2200"/>
      </w:tblGrid>
      <w:tr w:rsidR="00B571CE" w14:paraId="0A6BED3B" w14:textId="77777777">
        <w:tblPrEx>
          <w:tblCellMar>
            <w:top w:w="0" w:type="dxa"/>
            <w:bottom w:w="0" w:type="dxa"/>
          </w:tblCellMar>
        </w:tblPrEx>
        <w:trPr>
          <w:cantSplit/>
          <w:tblHeader/>
        </w:trPr>
        <w:tc>
          <w:tcPr>
            <w:tcW w:w="700" w:type="dxa"/>
            <w:tcBorders>
              <w:top w:val="single" w:sz="4" w:space="0" w:color="2E75B6"/>
              <w:left w:val="single" w:sz="4" w:space="0" w:color="2E75B6"/>
              <w:bottom w:val="single" w:sz="4" w:space="0" w:color="2E75B6"/>
              <w:right w:val="single" w:sz="4" w:space="0" w:color="2E75B6"/>
            </w:tcBorders>
            <w:shd w:val="clear" w:color="auto" w:fill="2E75B6"/>
            <w:tcMar>
              <w:top w:w="60" w:type="dxa"/>
              <w:left w:w="130" w:type="dxa"/>
              <w:bottom w:w="60" w:type="dxa"/>
              <w:right w:w="110" w:type="dxa"/>
            </w:tcMar>
            <w:vAlign w:val="center"/>
          </w:tcPr>
          <w:p w14:paraId="2015DB20" w14:textId="77777777" w:rsidR="00B571CE" w:rsidRDefault="00B571CE">
            <w:pPr>
              <w:spacing w:line="248" w:lineRule="auto"/>
            </w:pPr>
          </w:p>
        </w:tc>
        <w:tc>
          <w:tcPr>
            <w:tcW w:w="6846" w:type="dxa"/>
            <w:tcBorders>
              <w:top w:val="single" w:sz="4" w:space="0" w:color="2E75B6"/>
              <w:left w:val="single" w:sz="4" w:space="0" w:color="2E75B6"/>
              <w:bottom w:val="single" w:sz="4" w:space="0" w:color="2E75B6"/>
              <w:right w:val="single" w:sz="4" w:space="0" w:color="2E75B6"/>
            </w:tcBorders>
            <w:shd w:val="clear" w:color="auto" w:fill="2E75B6"/>
            <w:tcMar>
              <w:top w:w="60" w:type="dxa"/>
              <w:left w:w="130" w:type="dxa"/>
              <w:bottom w:w="60" w:type="dxa"/>
              <w:right w:w="110" w:type="dxa"/>
            </w:tcMar>
            <w:vAlign w:val="center"/>
          </w:tcPr>
          <w:p w14:paraId="01840B68" w14:textId="77777777" w:rsidR="00B571CE" w:rsidRDefault="00000000">
            <w:pPr>
              <w:spacing w:line="248" w:lineRule="auto"/>
            </w:pPr>
            <w:r>
              <w:rPr>
                <w:b/>
                <w:bCs/>
                <w:color w:val="FFFFFF"/>
                <w:sz w:val="20"/>
                <w:szCs w:val="20"/>
              </w:rPr>
              <w:t>Manoeuvre</w:t>
            </w:r>
          </w:p>
        </w:tc>
        <w:tc>
          <w:tcPr>
            <w:tcW w:w="2200" w:type="dxa"/>
            <w:tcBorders>
              <w:top w:val="single" w:sz="4" w:space="0" w:color="2E75B6"/>
              <w:left w:val="single" w:sz="4" w:space="0" w:color="2E75B6"/>
              <w:bottom w:val="single" w:sz="4" w:space="0" w:color="2E75B6"/>
              <w:right w:val="single" w:sz="4" w:space="0" w:color="2E75B6"/>
            </w:tcBorders>
            <w:shd w:val="clear" w:color="auto" w:fill="2E75B6"/>
            <w:tcMar>
              <w:top w:w="60" w:type="dxa"/>
              <w:left w:w="130" w:type="dxa"/>
              <w:bottom w:w="60" w:type="dxa"/>
              <w:right w:w="110" w:type="dxa"/>
            </w:tcMar>
            <w:vAlign w:val="center"/>
          </w:tcPr>
          <w:p w14:paraId="41B651C6" w14:textId="77777777" w:rsidR="00B571CE" w:rsidRDefault="00000000">
            <w:pPr>
              <w:spacing w:line="248" w:lineRule="auto"/>
            </w:pPr>
            <w:r>
              <w:rPr>
                <w:b/>
                <w:bCs/>
                <w:color w:val="FFFFFF"/>
                <w:sz w:val="20"/>
                <w:szCs w:val="20"/>
              </w:rPr>
              <w:t>Points</w:t>
            </w:r>
          </w:p>
        </w:tc>
      </w:tr>
      <w:tr w:rsidR="00B571CE" w14:paraId="5260723F" w14:textId="77777777">
        <w:tblPrEx>
          <w:tblCellMar>
            <w:top w:w="0" w:type="dxa"/>
            <w:bottom w:w="0" w:type="dxa"/>
          </w:tblCellMar>
        </w:tblPrEx>
        <w:trPr>
          <w:cantSplit/>
        </w:trPr>
        <w:tc>
          <w:tcPr>
            <w:tcW w:w="7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9789645" w14:textId="77777777" w:rsidR="00B571CE" w:rsidRDefault="00000000">
            <w:pPr>
              <w:spacing w:line="248" w:lineRule="auto"/>
              <w:jc w:val="center"/>
            </w:pPr>
            <w:r>
              <w:rPr>
                <w:b/>
                <w:bCs/>
                <w:sz w:val="20"/>
                <w:szCs w:val="20"/>
              </w:rPr>
              <w:t>1</w:t>
            </w:r>
          </w:p>
        </w:tc>
        <w:tc>
          <w:tcPr>
            <w:tcW w:w="68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229CADA" w14:textId="77777777" w:rsidR="00B571CE" w:rsidRDefault="00000000">
            <w:pPr>
              <w:spacing w:line="248" w:lineRule="auto"/>
            </w:pPr>
            <w:r>
              <w:rPr>
                <w:sz w:val="20"/>
                <w:szCs w:val="20"/>
              </w:rPr>
              <w:t>Passive dorsiflexion of the little (5th) finger beyond 90°</w:t>
            </w:r>
          </w:p>
        </w:tc>
        <w:tc>
          <w:tcPr>
            <w:tcW w:w="2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857FBB7" w14:textId="77777777" w:rsidR="00B571CE" w:rsidRDefault="00000000">
            <w:pPr>
              <w:spacing w:line="248" w:lineRule="auto"/>
            </w:pPr>
            <w:r>
              <w:rPr>
                <w:sz w:val="20"/>
                <w:szCs w:val="20"/>
              </w:rPr>
              <w:t>1 per hand (max 2)</w:t>
            </w:r>
          </w:p>
        </w:tc>
      </w:tr>
      <w:tr w:rsidR="00B571CE" w14:paraId="23C59684" w14:textId="77777777">
        <w:tblPrEx>
          <w:tblCellMar>
            <w:top w:w="0" w:type="dxa"/>
            <w:bottom w:w="0" w:type="dxa"/>
          </w:tblCellMar>
        </w:tblPrEx>
        <w:trPr>
          <w:cantSplit/>
        </w:trPr>
        <w:tc>
          <w:tcPr>
            <w:tcW w:w="7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90BC1C3" w14:textId="77777777" w:rsidR="00B571CE" w:rsidRDefault="00000000">
            <w:pPr>
              <w:spacing w:line="248" w:lineRule="auto"/>
              <w:jc w:val="center"/>
            </w:pPr>
            <w:r>
              <w:rPr>
                <w:b/>
                <w:bCs/>
                <w:sz w:val="20"/>
                <w:szCs w:val="20"/>
              </w:rPr>
              <w:t>2</w:t>
            </w:r>
          </w:p>
        </w:tc>
        <w:tc>
          <w:tcPr>
            <w:tcW w:w="68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3153EBE" w14:textId="77777777" w:rsidR="00B571CE" w:rsidRDefault="00000000">
            <w:pPr>
              <w:spacing w:line="248" w:lineRule="auto"/>
            </w:pPr>
            <w:r>
              <w:rPr>
                <w:sz w:val="20"/>
                <w:szCs w:val="20"/>
              </w:rPr>
              <w:t>Passive apposition of the thumb to the flexor aspect of the forearm</w:t>
            </w:r>
          </w:p>
        </w:tc>
        <w:tc>
          <w:tcPr>
            <w:tcW w:w="2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114BDE3" w14:textId="77777777" w:rsidR="00B571CE" w:rsidRDefault="00000000">
            <w:pPr>
              <w:spacing w:line="248" w:lineRule="auto"/>
            </w:pPr>
            <w:r>
              <w:rPr>
                <w:sz w:val="20"/>
                <w:szCs w:val="20"/>
              </w:rPr>
              <w:t>1 per thumb (max 2)</w:t>
            </w:r>
          </w:p>
        </w:tc>
      </w:tr>
      <w:tr w:rsidR="00B571CE" w14:paraId="7052EF48" w14:textId="77777777">
        <w:tblPrEx>
          <w:tblCellMar>
            <w:top w:w="0" w:type="dxa"/>
            <w:bottom w:w="0" w:type="dxa"/>
          </w:tblCellMar>
        </w:tblPrEx>
        <w:trPr>
          <w:cantSplit/>
        </w:trPr>
        <w:tc>
          <w:tcPr>
            <w:tcW w:w="7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E2C12C1" w14:textId="77777777" w:rsidR="00B571CE" w:rsidRDefault="00000000">
            <w:pPr>
              <w:spacing w:line="248" w:lineRule="auto"/>
              <w:jc w:val="center"/>
            </w:pPr>
            <w:r>
              <w:rPr>
                <w:b/>
                <w:bCs/>
                <w:sz w:val="20"/>
                <w:szCs w:val="20"/>
              </w:rPr>
              <w:t>3</w:t>
            </w:r>
          </w:p>
        </w:tc>
        <w:tc>
          <w:tcPr>
            <w:tcW w:w="68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BD856EC" w14:textId="77777777" w:rsidR="00B571CE" w:rsidRDefault="00000000">
            <w:pPr>
              <w:spacing w:line="248" w:lineRule="auto"/>
            </w:pPr>
            <w:r>
              <w:rPr>
                <w:sz w:val="20"/>
                <w:szCs w:val="20"/>
              </w:rPr>
              <w:t>Hyperextension of the elbow beyond 10°</w:t>
            </w:r>
          </w:p>
        </w:tc>
        <w:tc>
          <w:tcPr>
            <w:tcW w:w="2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58B6949" w14:textId="77777777" w:rsidR="00B571CE" w:rsidRDefault="00000000">
            <w:pPr>
              <w:spacing w:line="248" w:lineRule="auto"/>
            </w:pPr>
            <w:r>
              <w:rPr>
                <w:sz w:val="20"/>
                <w:szCs w:val="20"/>
              </w:rPr>
              <w:t>1 per elbow (max 2)</w:t>
            </w:r>
          </w:p>
        </w:tc>
      </w:tr>
      <w:tr w:rsidR="00B571CE" w14:paraId="537D4F54" w14:textId="77777777">
        <w:tblPrEx>
          <w:tblCellMar>
            <w:top w:w="0" w:type="dxa"/>
            <w:bottom w:w="0" w:type="dxa"/>
          </w:tblCellMar>
        </w:tblPrEx>
        <w:trPr>
          <w:cantSplit/>
        </w:trPr>
        <w:tc>
          <w:tcPr>
            <w:tcW w:w="7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8B28E39" w14:textId="77777777" w:rsidR="00B571CE" w:rsidRDefault="00000000">
            <w:pPr>
              <w:spacing w:line="248" w:lineRule="auto"/>
              <w:jc w:val="center"/>
            </w:pPr>
            <w:r>
              <w:rPr>
                <w:b/>
                <w:bCs/>
                <w:sz w:val="20"/>
                <w:szCs w:val="20"/>
              </w:rPr>
              <w:t>4</w:t>
            </w:r>
          </w:p>
        </w:tc>
        <w:tc>
          <w:tcPr>
            <w:tcW w:w="68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506FE4B" w14:textId="77777777" w:rsidR="00B571CE" w:rsidRDefault="00000000">
            <w:pPr>
              <w:spacing w:line="248" w:lineRule="auto"/>
            </w:pPr>
            <w:r>
              <w:rPr>
                <w:sz w:val="20"/>
                <w:szCs w:val="20"/>
              </w:rPr>
              <w:t>Hyperextension of the knee beyond 10°</w:t>
            </w:r>
          </w:p>
        </w:tc>
        <w:tc>
          <w:tcPr>
            <w:tcW w:w="2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8565810" w14:textId="77777777" w:rsidR="00B571CE" w:rsidRDefault="00000000">
            <w:pPr>
              <w:spacing w:line="248" w:lineRule="auto"/>
            </w:pPr>
            <w:r>
              <w:rPr>
                <w:sz w:val="20"/>
                <w:szCs w:val="20"/>
              </w:rPr>
              <w:t>1 per knee (max 2)</w:t>
            </w:r>
          </w:p>
        </w:tc>
      </w:tr>
      <w:tr w:rsidR="00B571CE" w14:paraId="49DCC7A4" w14:textId="77777777">
        <w:tblPrEx>
          <w:tblCellMar>
            <w:top w:w="0" w:type="dxa"/>
            <w:bottom w:w="0" w:type="dxa"/>
          </w:tblCellMar>
        </w:tblPrEx>
        <w:trPr>
          <w:cantSplit/>
        </w:trPr>
        <w:tc>
          <w:tcPr>
            <w:tcW w:w="7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9592A7A" w14:textId="77777777" w:rsidR="00B571CE" w:rsidRDefault="00000000">
            <w:pPr>
              <w:spacing w:line="248" w:lineRule="auto"/>
              <w:jc w:val="center"/>
            </w:pPr>
            <w:r>
              <w:rPr>
                <w:b/>
                <w:bCs/>
                <w:sz w:val="20"/>
                <w:szCs w:val="20"/>
              </w:rPr>
              <w:t>5</w:t>
            </w:r>
          </w:p>
        </w:tc>
        <w:tc>
          <w:tcPr>
            <w:tcW w:w="68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CBF3F72" w14:textId="77777777" w:rsidR="00B571CE" w:rsidRDefault="00000000">
            <w:pPr>
              <w:spacing w:line="248" w:lineRule="auto"/>
            </w:pPr>
            <w:r>
              <w:rPr>
                <w:sz w:val="20"/>
                <w:szCs w:val="20"/>
              </w:rPr>
              <w:t>Forward flexion of the trunk, knees straight, palms flat on the floor</w:t>
            </w:r>
          </w:p>
        </w:tc>
        <w:tc>
          <w:tcPr>
            <w:tcW w:w="2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FF1C9F0" w14:textId="77777777" w:rsidR="00B571CE" w:rsidRDefault="00000000">
            <w:pPr>
              <w:spacing w:line="248" w:lineRule="auto"/>
            </w:pPr>
            <w:r>
              <w:rPr>
                <w:sz w:val="20"/>
                <w:szCs w:val="20"/>
              </w:rPr>
              <w:t>1 (max 1)</w:t>
            </w:r>
          </w:p>
        </w:tc>
      </w:tr>
    </w:tbl>
    <w:p w14:paraId="35E3B50C" w14:textId="77777777" w:rsidR="00B571CE" w:rsidRDefault="00000000">
      <w:pPr>
        <w:spacing w:before="60" w:after="60"/>
        <w:jc w:val="center"/>
      </w:pPr>
      <w:r>
        <w:rPr>
          <w:noProof/>
        </w:rPr>
        <w:drawing>
          <wp:inline distT="0" distB="0" distL="0" distR="0" wp14:anchorId="0B8CBF2F" wp14:editId="318F3149">
            <wp:extent cx="2857500" cy="2543175"/>
            <wp:effectExtent l="0" t="0" r="0" b="0"/>
            <wp:docPr id="1" name="Beighton manoeuvres" descr="Beighton manoeuvres" title="Beighton manoeu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2857500" cy="2543175"/>
                    </a:xfrm>
                    <a:prstGeom prst="rect">
                      <a:avLst/>
                    </a:prstGeom>
                  </pic:spPr>
                </pic:pic>
              </a:graphicData>
            </a:graphic>
          </wp:inline>
        </w:drawing>
      </w:r>
    </w:p>
    <w:p w14:paraId="7BA5585C" w14:textId="77777777" w:rsidR="00B571CE" w:rsidRDefault="00000000">
      <w:pPr>
        <w:spacing w:after="140"/>
        <w:jc w:val="center"/>
      </w:pPr>
      <w:r>
        <w:rPr>
          <w:i/>
          <w:iCs/>
          <w:color w:val="5A636E"/>
          <w:sz w:val="18"/>
          <w:szCs w:val="18"/>
        </w:rPr>
        <w:t>The five Beighton manoeuvres (maximum score 9).</w:t>
      </w:r>
    </w:p>
    <w:p w14:paraId="444DF456" w14:textId="77777777" w:rsidR="00682471" w:rsidRDefault="00682471">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60"/>
        <w:gridCol w:w="9686"/>
      </w:tblGrid>
      <w:tr w:rsidR="00B571CE" w14:paraId="5F0B0F72" w14:textId="77777777">
        <w:tblPrEx>
          <w:tblCellMar>
            <w:top w:w="0" w:type="dxa"/>
            <w:bottom w:w="0" w:type="dxa"/>
          </w:tblCellMar>
        </w:tblPrEx>
        <w:tc>
          <w:tcPr>
            <w:tcW w:w="60" w:type="dxa"/>
            <w:shd w:val="clear" w:color="auto" w:fill="2E75B6"/>
            <w:tcMar>
              <w:top w:w="0" w:type="dxa"/>
              <w:left w:w="0" w:type="dxa"/>
              <w:bottom w:w="0" w:type="dxa"/>
              <w:right w:w="0" w:type="dxa"/>
            </w:tcMar>
          </w:tcPr>
          <w:p w14:paraId="113BBACF" w14:textId="59AFB209" w:rsidR="00B571CE" w:rsidRDefault="00B571CE"/>
        </w:tc>
        <w:tc>
          <w:tcPr>
            <w:tcW w:w="9686" w:type="dxa"/>
            <w:shd w:val="clear" w:color="auto" w:fill="F4F6F8"/>
            <w:tcMar>
              <w:top w:w="70" w:type="dxa"/>
              <w:left w:w="150" w:type="dxa"/>
              <w:bottom w:w="70" w:type="dxa"/>
              <w:right w:w="120" w:type="dxa"/>
            </w:tcMar>
            <w:vAlign w:val="center"/>
          </w:tcPr>
          <w:p w14:paraId="3B7A5491" w14:textId="77777777" w:rsidR="00B571CE" w:rsidRDefault="00000000">
            <w:pPr>
              <w:spacing w:line="252" w:lineRule="auto"/>
            </w:pPr>
            <w:r>
              <w:rPr>
                <w:b/>
                <w:bCs/>
                <w:color w:val="21303D"/>
                <w:sz w:val="27"/>
                <w:szCs w:val="27"/>
              </w:rPr>
              <w:t xml:space="preserve">Interpreting the </w:t>
            </w:r>
            <w:proofErr w:type="gramStart"/>
            <w:r>
              <w:rPr>
                <w:b/>
                <w:bCs/>
                <w:color w:val="21303D"/>
                <w:sz w:val="27"/>
                <w:szCs w:val="27"/>
              </w:rPr>
              <w:t>score  ·</w:t>
            </w:r>
            <w:proofErr w:type="gramEnd"/>
            <w:r>
              <w:rPr>
                <w:b/>
                <w:bCs/>
                <w:color w:val="21303D"/>
                <w:sz w:val="27"/>
                <w:szCs w:val="27"/>
              </w:rPr>
              <w:t xml:space="preserve">  Age- and sex-adjusted cut-offs</w:t>
            </w:r>
          </w:p>
        </w:tc>
      </w:tr>
    </w:tbl>
    <w:p w14:paraId="465C8146" w14:textId="77777777" w:rsidR="00B571CE" w:rsidRDefault="00000000">
      <w:pPr>
        <w:spacing w:after="120" w:line="264" w:lineRule="auto"/>
      </w:pPr>
      <w:r>
        <w:t>Generalised joint hypermobility (GJH) is defined by a Beighton score at or above an age-related threshold — because flexibility declines with age:</w:t>
      </w: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
        <w:gridCol w:w="30"/>
        <w:gridCol w:w="5466"/>
        <w:gridCol w:w="4185"/>
        <w:gridCol w:w="35"/>
      </w:tblGrid>
      <w:tr w:rsidR="00B571CE" w14:paraId="3FBAA2D1" w14:textId="77777777">
        <w:tblPrEx>
          <w:tblCellMar>
            <w:top w:w="0" w:type="dxa"/>
            <w:bottom w:w="0" w:type="dxa"/>
          </w:tblCellMar>
        </w:tblPrEx>
        <w:trPr>
          <w:gridAfter w:val="1"/>
          <w:wAfter w:w="30" w:type="dxa"/>
          <w:cantSplit/>
          <w:tblHeader/>
        </w:trPr>
        <w:tc>
          <w:tcPr>
            <w:tcW w:w="5546" w:type="dxa"/>
            <w:gridSpan w:val="3"/>
            <w:tcBorders>
              <w:top w:val="single" w:sz="4" w:space="0" w:color="2E75B6"/>
              <w:left w:val="single" w:sz="4" w:space="0" w:color="2E75B6"/>
              <w:bottom w:val="single" w:sz="4" w:space="0" w:color="2E75B6"/>
              <w:right w:val="single" w:sz="4" w:space="0" w:color="2E75B6"/>
            </w:tcBorders>
            <w:shd w:val="clear" w:color="auto" w:fill="2E75B6"/>
            <w:tcMar>
              <w:top w:w="60" w:type="dxa"/>
              <w:left w:w="130" w:type="dxa"/>
              <w:bottom w:w="60" w:type="dxa"/>
              <w:right w:w="110" w:type="dxa"/>
            </w:tcMar>
            <w:vAlign w:val="center"/>
          </w:tcPr>
          <w:p w14:paraId="65D833BE" w14:textId="77777777" w:rsidR="00B571CE" w:rsidRDefault="00000000">
            <w:pPr>
              <w:spacing w:line="248" w:lineRule="auto"/>
            </w:pPr>
            <w:r>
              <w:rPr>
                <w:b/>
                <w:bCs/>
                <w:color w:val="FFFFFF"/>
                <w:sz w:val="20"/>
                <w:szCs w:val="20"/>
              </w:rPr>
              <w:t>Group</w:t>
            </w:r>
          </w:p>
        </w:tc>
        <w:tc>
          <w:tcPr>
            <w:tcW w:w="4200" w:type="dxa"/>
            <w:tcBorders>
              <w:top w:val="single" w:sz="4" w:space="0" w:color="2E75B6"/>
              <w:left w:val="single" w:sz="4" w:space="0" w:color="2E75B6"/>
              <w:bottom w:val="single" w:sz="4" w:space="0" w:color="2E75B6"/>
              <w:right w:val="single" w:sz="4" w:space="0" w:color="2E75B6"/>
            </w:tcBorders>
            <w:shd w:val="clear" w:color="auto" w:fill="2E75B6"/>
            <w:tcMar>
              <w:top w:w="60" w:type="dxa"/>
              <w:left w:w="130" w:type="dxa"/>
              <w:bottom w:w="60" w:type="dxa"/>
              <w:right w:w="110" w:type="dxa"/>
            </w:tcMar>
            <w:vAlign w:val="center"/>
          </w:tcPr>
          <w:p w14:paraId="3245EDA5" w14:textId="77777777" w:rsidR="00B571CE" w:rsidRDefault="00000000">
            <w:pPr>
              <w:spacing w:line="248" w:lineRule="auto"/>
            </w:pPr>
            <w:r>
              <w:rPr>
                <w:b/>
                <w:bCs/>
                <w:color w:val="FFFFFF"/>
                <w:sz w:val="20"/>
                <w:szCs w:val="20"/>
              </w:rPr>
              <w:t>Threshold for GJH</w:t>
            </w:r>
          </w:p>
        </w:tc>
      </w:tr>
      <w:tr w:rsidR="00B571CE" w14:paraId="7E013089" w14:textId="77777777">
        <w:tblPrEx>
          <w:tblCellMar>
            <w:top w:w="0" w:type="dxa"/>
            <w:bottom w:w="0" w:type="dxa"/>
          </w:tblCellMar>
        </w:tblPrEx>
        <w:trPr>
          <w:gridAfter w:val="1"/>
          <w:wAfter w:w="30" w:type="dxa"/>
          <w:cantSplit/>
        </w:trPr>
        <w:tc>
          <w:tcPr>
            <w:tcW w:w="5546"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604F787" w14:textId="77777777" w:rsidR="00B571CE" w:rsidRDefault="00000000">
            <w:pPr>
              <w:spacing w:line="248" w:lineRule="auto"/>
            </w:pPr>
            <w:r>
              <w:rPr>
                <w:b/>
                <w:bCs/>
                <w:sz w:val="20"/>
                <w:szCs w:val="20"/>
              </w:rPr>
              <w:t>Pre-pubertal children &amp; adolescents</w:t>
            </w:r>
          </w:p>
        </w:tc>
        <w:tc>
          <w:tcPr>
            <w:tcW w:w="4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798DA73" w14:textId="77777777" w:rsidR="00B571CE" w:rsidRDefault="00000000">
            <w:pPr>
              <w:spacing w:line="248" w:lineRule="auto"/>
              <w:jc w:val="center"/>
            </w:pPr>
            <w:r>
              <w:rPr>
                <w:b/>
                <w:bCs/>
                <w:sz w:val="20"/>
                <w:szCs w:val="20"/>
              </w:rPr>
              <w:t>≥ 6 / 9</w:t>
            </w:r>
          </w:p>
        </w:tc>
      </w:tr>
      <w:tr w:rsidR="00B571CE" w14:paraId="439652FA" w14:textId="77777777">
        <w:tblPrEx>
          <w:tblCellMar>
            <w:top w:w="0" w:type="dxa"/>
            <w:bottom w:w="0" w:type="dxa"/>
          </w:tblCellMar>
        </w:tblPrEx>
        <w:trPr>
          <w:gridAfter w:val="1"/>
          <w:wAfter w:w="30" w:type="dxa"/>
          <w:cantSplit/>
        </w:trPr>
        <w:tc>
          <w:tcPr>
            <w:tcW w:w="5546"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EAFF1E8" w14:textId="77777777" w:rsidR="00B571CE" w:rsidRDefault="00000000">
            <w:pPr>
              <w:spacing w:line="248" w:lineRule="auto"/>
            </w:pPr>
            <w:r>
              <w:rPr>
                <w:b/>
                <w:bCs/>
                <w:sz w:val="20"/>
                <w:szCs w:val="20"/>
              </w:rPr>
              <w:t>Adults (up to ~50 years)</w:t>
            </w:r>
          </w:p>
        </w:tc>
        <w:tc>
          <w:tcPr>
            <w:tcW w:w="42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EE007C2" w14:textId="77777777" w:rsidR="00B571CE" w:rsidRDefault="00000000">
            <w:pPr>
              <w:spacing w:line="248" w:lineRule="auto"/>
              <w:jc w:val="center"/>
            </w:pPr>
            <w:r>
              <w:rPr>
                <w:b/>
                <w:bCs/>
                <w:sz w:val="20"/>
                <w:szCs w:val="20"/>
              </w:rPr>
              <w:t>≥ 5 / 9</w:t>
            </w:r>
          </w:p>
        </w:tc>
      </w:tr>
      <w:tr w:rsidR="00B571CE" w14:paraId="1983E5D8" w14:textId="77777777">
        <w:tblPrEx>
          <w:tblCellMar>
            <w:top w:w="0" w:type="dxa"/>
            <w:bottom w:w="0" w:type="dxa"/>
          </w:tblCellMar>
        </w:tblPrEx>
        <w:trPr>
          <w:gridAfter w:val="1"/>
          <w:wAfter w:w="30" w:type="dxa"/>
          <w:cantSplit/>
        </w:trPr>
        <w:tc>
          <w:tcPr>
            <w:tcW w:w="5546"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8FA0ED1" w14:textId="77777777" w:rsidR="00B571CE" w:rsidRDefault="00000000">
            <w:pPr>
              <w:spacing w:line="248" w:lineRule="auto"/>
            </w:pPr>
            <w:r>
              <w:rPr>
                <w:b/>
                <w:bCs/>
                <w:sz w:val="20"/>
                <w:szCs w:val="20"/>
              </w:rPr>
              <w:t>Adults over 50 years</w:t>
            </w:r>
          </w:p>
        </w:tc>
        <w:tc>
          <w:tcPr>
            <w:tcW w:w="42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C176B80" w14:textId="77777777" w:rsidR="00B571CE" w:rsidRDefault="00000000">
            <w:pPr>
              <w:spacing w:line="248" w:lineRule="auto"/>
              <w:jc w:val="center"/>
            </w:pPr>
            <w:r>
              <w:rPr>
                <w:b/>
                <w:bCs/>
                <w:sz w:val="20"/>
                <w:szCs w:val="20"/>
              </w:rPr>
              <w:t>≥ 4 / 9</w:t>
            </w:r>
          </w:p>
        </w:tc>
      </w:tr>
      <w:tr w:rsidR="00B571CE" w14:paraId="2337B055" w14:textId="77777777">
        <w:tblPrEx>
          <w:tblBorders>
            <w:top w:val="single" w:sz="2" w:space="0" w:color="2E75B6"/>
            <w:left w:val="single" w:sz="28" w:space="0" w:color="2E75B6"/>
            <w:bottom w:val="single" w:sz="2" w:space="0" w:color="2E75B6"/>
            <w:right w:val="single" w:sz="2" w:space="0" w:color="2E75B6"/>
          </w:tblBorders>
          <w:tblCellMar>
            <w:top w:w="0" w:type="dxa"/>
            <w:bottom w:w="0" w:type="dxa"/>
          </w:tblCellMar>
        </w:tblPrEx>
        <w:trPr>
          <w:gridBefore w:val="1"/>
          <w:wBefore w:w="30" w:type="dxa"/>
          <w:cantSplit/>
        </w:trPr>
        <w:tc>
          <w:tcPr>
            <w:tcW w:w="9746" w:type="dxa"/>
            <w:gridSpan w:val="4"/>
            <w:shd w:val="clear" w:color="auto" w:fill="E9F1FB"/>
            <w:tcMar>
              <w:top w:w="110" w:type="dxa"/>
              <w:left w:w="200" w:type="dxa"/>
              <w:bottom w:w="110" w:type="dxa"/>
              <w:right w:w="160" w:type="dxa"/>
            </w:tcMar>
          </w:tcPr>
          <w:p w14:paraId="741548DC" w14:textId="77777777" w:rsidR="00B571CE" w:rsidRDefault="00000000">
            <w:pPr>
              <w:spacing w:after="70" w:line="248" w:lineRule="auto"/>
            </w:pPr>
            <w:proofErr w:type="gramStart"/>
            <w:r>
              <w:rPr>
                <w:b/>
                <w:bCs/>
                <w:color w:val="1F5C95"/>
              </w:rPr>
              <w:t>▸  Historical</w:t>
            </w:r>
            <w:proofErr w:type="gramEnd"/>
            <w:r>
              <w:rPr>
                <w:b/>
                <w:bCs/>
                <w:color w:val="1F5C95"/>
              </w:rPr>
              <w:t xml:space="preserve"> hypermobility — the 5-part questionnaire</w:t>
            </w:r>
          </w:p>
          <w:p w14:paraId="6F99255E" w14:textId="77777777" w:rsidR="00B571CE" w:rsidRDefault="00000000">
            <w:pPr>
              <w:spacing w:after="60" w:line="252" w:lineRule="auto"/>
            </w:pPr>
            <w:r>
              <w:t>If joints are now stiffer, the Beighton score may miss past hypermobility. A validated 5-part questionnaire captures it — a '</w:t>
            </w:r>
            <w:proofErr w:type="spellStart"/>
            <w:r>
              <w:t>yes'</w:t>
            </w:r>
            <w:proofErr w:type="spellEnd"/>
            <w:r>
              <w:t xml:space="preserve"> to two or more suggests hypermobility:</w:t>
            </w:r>
          </w:p>
          <w:p w14:paraId="613B7451" w14:textId="77777777" w:rsidR="00B571CE" w:rsidRDefault="00000000">
            <w:pPr>
              <w:pStyle w:val="ListParagraph"/>
              <w:numPr>
                <w:ilvl w:val="0"/>
                <w:numId w:val="2"/>
              </w:numPr>
              <w:spacing w:after="50" w:line="248" w:lineRule="auto"/>
            </w:pPr>
            <w:r>
              <w:t>Can you now (or could you ever) place your hands flat on the floor without bending your knees?</w:t>
            </w:r>
          </w:p>
          <w:p w14:paraId="40EA3A4B" w14:textId="77777777" w:rsidR="00B571CE" w:rsidRDefault="00000000">
            <w:pPr>
              <w:pStyle w:val="ListParagraph"/>
              <w:numPr>
                <w:ilvl w:val="0"/>
                <w:numId w:val="2"/>
              </w:numPr>
              <w:spacing w:after="50" w:line="248" w:lineRule="auto"/>
            </w:pPr>
            <w:r>
              <w:t>Can you now (or could you ever) bend your thumb to touch your forearm?</w:t>
            </w:r>
          </w:p>
          <w:p w14:paraId="74CB142D" w14:textId="77777777" w:rsidR="00B571CE" w:rsidRDefault="00000000">
            <w:pPr>
              <w:pStyle w:val="ListParagraph"/>
              <w:numPr>
                <w:ilvl w:val="0"/>
                <w:numId w:val="2"/>
              </w:numPr>
              <w:spacing w:after="50" w:line="248" w:lineRule="auto"/>
            </w:pPr>
            <w:r>
              <w:t>As a child, did you amuse friends by contorting your body, or could you do the splits?</w:t>
            </w:r>
          </w:p>
          <w:p w14:paraId="2DD206BF" w14:textId="77777777" w:rsidR="00B571CE" w:rsidRDefault="00000000">
            <w:pPr>
              <w:pStyle w:val="ListParagraph"/>
              <w:numPr>
                <w:ilvl w:val="0"/>
                <w:numId w:val="2"/>
              </w:numPr>
              <w:spacing w:after="50" w:line="248" w:lineRule="auto"/>
            </w:pPr>
            <w:r>
              <w:t>As a child or teenager, did your kneecap or shoulder dislocate on more than one occasion?</w:t>
            </w:r>
          </w:p>
          <w:p w14:paraId="6D59A5BA" w14:textId="77777777" w:rsidR="00B571CE" w:rsidRDefault="00000000">
            <w:pPr>
              <w:pStyle w:val="ListParagraph"/>
              <w:numPr>
                <w:ilvl w:val="0"/>
                <w:numId w:val="2"/>
              </w:numPr>
              <w:spacing w:line="248" w:lineRule="auto"/>
            </w:pPr>
            <w:r>
              <w:t>Do you consider yourself 'double-jointed'?</w:t>
            </w:r>
          </w:p>
        </w:tc>
      </w:tr>
      <w:tr w:rsidR="00B571CE" w14:paraId="1778CE84" w14:textId="77777777">
        <w:tblPrEx>
          <w:tblBorders>
            <w:top w:val="single" w:sz="2" w:space="0" w:color="D34747"/>
            <w:left w:val="single" w:sz="28" w:space="0" w:color="D34747"/>
            <w:bottom w:val="single" w:sz="2" w:space="0" w:color="D34747"/>
            <w:right w:val="single" w:sz="2" w:space="0" w:color="D34747"/>
          </w:tblBorders>
          <w:tblCellMar>
            <w:top w:w="0" w:type="dxa"/>
            <w:bottom w:w="0" w:type="dxa"/>
          </w:tblCellMar>
        </w:tblPrEx>
        <w:trPr>
          <w:gridBefore w:val="1"/>
          <w:wBefore w:w="30" w:type="dxa"/>
          <w:cantSplit/>
        </w:trPr>
        <w:tc>
          <w:tcPr>
            <w:tcW w:w="9746" w:type="dxa"/>
            <w:gridSpan w:val="4"/>
            <w:shd w:val="clear" w:color="auto" w:fill="FBEAEA"/>
            <w:tcMar>
              <w:top w:w="110" w:type="dxa"/>
              <w:left w:w="200" w:type="dxa"/>
              <w:bottom w:w="110" w:type="dxa"/>
              <w:right w:w="160" w:type="dxa"/>
            </w:tcMar>
          </w:tcPr>
          <w:p w14:paraId="2A7465C0" w14:textId="77777777" w:rsidR="00B571CE" w:rsidRDefault="00000000">
            <w:pPr>
              <w:spacing w:after="70" w:line="248" w:lineRule="auto"/>
            </w:pPr>
            <w:proofErr w:type="gramStart"/>
            <w:r>
              <w:rPr>
                <w:b/>
                <w:bCs/>
                <w:color w:val="B02A2A"/>
              </w:rPr>
              <w:t>▲  A</w:t>
            </w:r>
            <w:proofErr w:type="gramEnd"/>
            <w:r>
              <w:rPr>
                <w:b/>
                <w:bCs/>
                <w:color w:val="B02A2A"/>
              </w:rPr>
              <w:t xml:space="preserve"> high Beighton score is NOT a diagnosis</w:t>
            </w:r>
          </w:p>
          <w:p w14:paraId="4E704B6B" w14:textId="77777777" w:rsidR="00B571CE" w:rsidRDefault="00000000">
            <w:pPr>
              <w:spacing w:after="60" w:line="252" w:lineRule="auto"/>
            </w:pPr>
            <w:r>
              <w:rPr>
                <w:b/>
                <w:bCs/>
                <w:color w:val="B02A2A"/>
              </w:rPr>
              <w:t xml:space="preserve">Generalised hypermobility on its own is just a finding. It does not equal </w:t>
            </w:r>
            <w:proofErr w:type="spellStart"/>
            <w:r>
              <w:rPr>
                <w:b/>
                <w:bCs/>
                <w:color w:val="B02A2A"/>
              </w:rPr>
              <w:t>hEDS</w:t>
            </w:r>
            <w:proofErr w:type="spellEnd"/>
            <w:r>
              <w:rPr>
                <w:b/>
                <w:bCs/>
                <w:color w:val="B02A2A"/>
              </w:rPr>
              <w:t>.</w:t>
            </w:r>
          </w:p>
          <w:p w14:paraId="450A2B73" w14:textId="77777777" w:rsidR="00B571CE" w:rsidRDefault="00000000">
            <w:pPr>
              <w:pStyle w:val="ListParagraph"/>
              <w:numPr>
                <w:ilvl w:val="0"/>
                <w:numId w:val="3"/>
              </w:numPr>
              <w:spacing w:after="50" w:line="248" w:lineRule="auto"/>
            </w:pPr>
            <w:r>
              <w:rPr>
                <w:b/>
                <w:bCs/>
              </w:rPr>
              <w:t>hypermobile EDS (</w:t>
            </w:r>
            <w:proofErr w:type="spellStart"/>
            <w:r>
              <w:rPr>
                <w:b/>
                <w:bCs/>
              </w:rPr>
              <w:t>hEDS</w:t>
            </w:r>
            <w:proofErr w:type="spellEnd"/>
            <w:r>
              <w:rPr>
                <w:b/>
                <w:bCs/>
              </w:rPr>
              <w:t xml:space="preserve">) </w:t>
            </w:r>
            <w:r>
              <w:t>requires the full 2017 international criteria — generalised hypermobility PLUS systemic features, a positive family history and/or musculoskeletal complications, AND exclusion of other connective-tissue disorders.</w:t>
            </w:r>
          </w:p>
          <w:p w14:paraId="3231C3FA" w14:textId="77777777" w:rsidR="00B571CE" w:rsidRDefault="00000000">
            <w:pPr>
              <w:pStyle w:val="ListParagraph"/>
              <w:numPr>
                <w:ilvl w:val="0"/>
                <w:numId w:val="3"/>
              </w:numPr>
              <w:spacing w:after="50" w:line="248" w:lineRule="auto"/>
            </w:pPr>
            <w:r>
              <w:rPr>
                <w:b/>
                <w:bCs/>
              </w:rPr>
              <w:t xml:space="preserve">Hypermobility spectrum disorder (HSD) </w:t>
            </w:r>
            <w:r>
              <w:t xml:space="preserve">describes symptomatic hypermobility that does not meet the full </w:t>
            </w:r>
            <w:proofErr w:type="spellStart"/>
            <w:r>
              <w:t>hEDS</w:t>
            </w:r>
            <w:proofErr w:type="spellEnd"/>
            <w:r>
              <w:t xml:space="preserve"> criteria.</w:t>
            </w:r>
          </w:p>
          <w:p w14:paraId="3A38288F" w14:textId="77777777" w:rsidR="00B571CE" w:rsidRDefault="00000000">
            <w:pPr>
              <w:pStyle w:val="ListParagraph"/>
              <w:numPr>
                <w:ilvl w:val="0"/>
                <w:numId w:val="3"/>
              </w:numPr>
              <w:spacing w:line="248" w:lineRule="auto"/>
            </w:pPr>
            <w:r>
              <w:t xml:space="preserve">The older terms </w:t>
            </w:r>
            <w:r>
              <w:rPr>
                <w:b/>
                <w:bCs/>
              </w:rPr>
              <w:t>'joint hypermobility syndrome' and the Brighton criteria are no longer used.</w:t>
            </w:r>
          </w:p>
        </w:tc>
      </w:tr>
      <w:tr w:rsidR="00B571CE" w14:paraId="314BC71A"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2E75B6"/>
            <w:tcMar>
              <w:top w:w="0" w:type="dxa"/>
              <w:left w:w="0" w:type="dxa"/>
              <w:bottom w:w="0" w:type="dxa"/>
              <w:right w:w="0" w:type="dxa"/>
            </w:tcMar>
          </w:tcPr>
          <w:p w14:paraId="10976C42" w14:textId="77777777" w:rsidR="00B571CE" w:rsidRDefault="00B571CE"/>
        </w:tc>
        <w:tc>
          <w:tcPr>
            <w:tcW w:w="9686" w:type="dxa"/>
            <w:gridSpan w:val="2"/>
            <w:shd w:val="clear" w:color="auto" w:fill="F4F6F8"/>
            <w:tcMar>
              <w:top w:w="70" w:type="dxa"/>
              <w:left w:w="150" w:type="dxa"/>
              <w:bottom w:w="70" w:type="dxa"/>
              <w:right w:w="120" w:type="dxa"/>
            </w:tcMar>
            <w:vAlign w:val="center"/>
          </w:tcPr>
          <w:p w14:paraId="1C20CC56" w14:textId="77777777" w:rsidR="00B571CE" w:rsidRDefault="00000000">
            <w:pPr>
              <w:spacing w:line="252" w:lineRule="auto"/>
            </w:pPr>
            <w:r>
              <w:rPr>
                <w:b/>
                <w:bCs/>
                <w:color w:val="21303D"/>
                <w:sz w:val="27"/>
                <w:szCs w:val="27"/>
              </w:rPr>
              <w:t>Why it matters in primary care</w:t>
            </w:r>
          </w:p>
        </w:tc>
      </w:tr>
    </w:tbl>
    <w:p w14:paraId="4321EB57" w14:textId="77777777" w:rsidR="00B571CE" w:rsidRDefault="00000000">
      <w:pPr>
        <w:pStyle w:val="ListParagraph"/>
        <w:numPr>
          <w:ilvl w:val="0"/>
          <w:numId w:val="4"/>
        </w:numPr>
        <w:spacing w:after="60" w:line="252" w:lineRule="auto"/>
      </w:pPr>
      <w:r>
        <w:rPr>
          <w:b/>
          <w:bCs/>
        </w:rPr>
        <w:t xml:space="preserve">Hypermobility may underlie 30–40% of MSK presentations </w:t>
      </w:r>
      <w:r>
        <w:t>— recurrent sprains, 'growing pains', non-specific joint and back pain, and clumsiness.</w:t>
      </w:r>
    </w:p>
    <w:p w14:paraId="074E399B" w14:textId="77777777" w:rsidR="00B571CE" w:rsidRDefault="00000000">
      <w:pPr>
        <w:pStyle w:val="ListParagraph"/>
        <w:numPr>
          <w:ilvl w:val="0"/>
          <w:numId w:val="4"/>
        </w:numPr>
        <w:spacing w:after="60" w:line="252" w:lineRule="auto"/>
      </w:pPr>
      <w:r>
        <w:rPr>
          <w:b/>
          <w:bCs/>
        </w:rPr>
        <w:t xml:space="preserve">It is a recognised risk factor for fibromyalgia </w:t>
      </w:r>
      <w:r>
        <w:t>and chronic widespread pain — worth screening for in that group.</w:t>
      </w:r>
    </w:p>
    <w:p w14:paraId="5F04B058" w14:textId="77777777" w:rsidR="00B571CE" w:rsidRDefault="00000000">
      <w:pPr>
        <w:pStyle w:val="ListParagraph"/>
        <w:numPr>
          <w:ilvl w:val="0"/>
          <w:numId w:val="4"/>
        </w:numPr>
        <w:spacing w:after="60" w:line="252" w:lineRule="auto"/>
      </w:pPr>
      <w:r>
        <w:rPr>
          <w:b/>
          <w:bCs/>
        </w:rPr>
        <w:t xml:space="preserve">Associated features </w:t>
      </w:r>
      <w:r>
        <w:t>can include fatigue, autonomic symptoms, anxiety, and easy bruising — ask about them.</w:t>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35"/>
        <w:gridCol w:w="25"/>
        <w:gridCol w:w="9651"/>
        <w:gridCol w:w="35"/>
      </w:tblGrid>
      <w:tr w:rsidR="00B571CE" w14:paraId="3D11263A" w14:textId="77777777">
        <w:tblPrEx>
          <w:tblCellMar>
            <w:top w:w="0" w:type="dxa"/>
            <w:bottom w:w="0" w:type="dxa"/>
          </w:tblCellMar>
        </w:tblPrEx>
        <w:trPr>
          <w:gridAfter w:val="1"/>
          <w:wAfter w:w="35" w:type="dxa"/>
        </w:trPr>
        <w:tc>
          <w:tcPr>
            <w:tcW w:w="60" w:type="dxa"/>
            <w:gridSpan w:val="2"/>
            <w:shd w:val="clear" w:color="auto" w:fill="2E75B6"/>
            <w:tcMar>
              <w:top w:w="0" w:type="dxa"/>
              <w:left w:w="0" w:type="dxa"/>
              <w:bottom w:w="0" w:type="dxa"/>
              <w:right w:w="0" w:type="dxa"/>
            </w:tcMar>
          </w:tcPr>
          <w:p w14:paraId="51EE1348" w14:textId="77777777" w:rsidR="00B571CE" w:rsidRDefault="00B571CE"/>
        </w:tc>
        <w:tc>
          <w:tcPr>
            <w:tcW w:w="9686" w:type="dxa"/>
            <w:shd w:val="clear" w:color="auto" w:fill="F4F6F8"/>
            <w:tcMar>
              <w:top w:w="70" w:type="dxa"/>
              <w:left w:w="150" w:type="dxa"/>
              <w:bottom w:w="70" w:type="dxa"/>
              <w:right w:w="120" w:type="dxa"/>
            </w:tcMar>
            <w:vAlign w:val="center"/>
          </w:tcPr>
          <w:p w14:paraId="35669FE7" w14:textId="77777777" w:rsidR="00B571CE" w:rsidRDefault="00000000">
            <w:pPr>
              <w:spacing w:line="252" w:lineRule="auto"/>
            </w:pPr>
            <w:r>
              <w:rPr>
                <w:b/>
                <w:bCs/>
                <w:color w:val="21303D"/>
                <w:sz w:val="27"/>
                <w:szCs w:val="27"/>
              </w:rPr>
              <w:t>Managing symptomatic hypermobility</w:t>
            </w:r>
          </w:p>
        </w:tc>
      </w:tr>
      <w:tr w:rsidR="00B571CE" w14:paraId="37FB3248" w14:textId="77777777">
        <w:tblPrEx>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55F45995" w14:textId="77777777" w:rsidR="00B571CE" w:rsidRDefault="00000000">
            <w:pPr>
              <w:spacing w:after="70" w:line="248" w:lineRule="auto"/>
            </w:pPr>
            <w:proofErr w:type="gramStart"/>
            <w:r>
              <w:rPr>
                <w:b/>
                <w:bCs/>
                <w:color w:val="1E7A40"/>
              </w:rPr>
              <w:t>◎  Core</w:t>
            </w:r>
            <w:proofErr w:type="gramEnd"/>
            <w:r>
              <w:rPr>
                <w:b/>
                <w:bCs/>
                <w:color w:val="1E7A40"/>
              </w:rPr>
              <w:t xml:space="preserve"> management</w:t>
            </w:r>
          </w:p>
          <w:p w14:paraId="1A1D9328" w14:textId="77777777" w:rsidR="00B571CE" w:rsidRDefault="00000000">
            <w:pPr>
              <w:pStyle w:val="ListParagraph"/>
              <w:numPr>
                <w:ilvl w:val="0"/>
                <w:numId w:val="5"/>
              </w:numPr>
              <w:spacing w:after="50" w:line="248" w:lineRule="auto"/>
            </w:pPr>
            <w:r>
              <w:rPr>
                <w:b/>
                <w:bCs/>
              </w:rPr>
              <w:t xml:space="preserve">Reassure and explain </w:t>
            </w:r>
            <w:r>
              <w:t>— it is common, manageable, and not a sign of joint destruction.</w:t>
            </w:r>
          </w:p>
          <w:p w14:paraId="7BA319D4" w14:textId="77777777" w:rsidR="00B571CE" w:rsidRDefault="00000000">
            <w:pPr>
              <w:pStyle w:val="ListParagraph"/>
              <w:numPr>
                <w:ilvl w:val="0"/>
                <w:numId w:val="5"/>
              </w:numPr>
              <w:spacing w:after="50" w:line="248" w:lineRule="auto"/>
            </w:pPr>
            <w:r>
              <w:rPr>
                <w:b/>
                <w:bCs/>
              </w:rPr>
              <w:t xml:space="preserve">Graded, low-impact strengthening </w:t>
            </w:r>
            <w:r>
              <w:t>— swimming, cycling and Pilates build the muscle support that lax joints rely on.</w:t>
            </w:r>
          </w:p>
          <w:p w14:paraId="3B22D1FA" w14:textId="77777777" w:rsidR="00B571CE" w:rsidRDefault="00000000">
            <w:pPr>
              <w:pStyle w:val="ListParagraph"/>
              <w:numPr>
                <w:ilvl w:val="0"/>
                <w:numId w:val="5"/>
              </w:numPr>
              <w:spacing w:after="50" w:line="248" w:lineRule="auto"/>
            </w:pPr>
            <w:r>
              <w:rPr>
                <w:b/>
                <w:bCs/>
              </w:rPr>
              <w:t xml:space="preserve">Proprioception and pacing work, </w:t>
            </w:r>
            <w:r>
              <w:t>often with physiotherapy, to improve joint control and reduce flares.</w:t>
            </w:r>
          </w:p>
          <w:p w14:paraId="41DE3651" w14:textId="77777777" w:rsidR="00B571CE" w:rsidRDefault="00000000">
            <w:pPr>
              <w:pStyle w:val="ListParagraph"/>
              <w:numPr>
                <w:ilvl w:val="0"/>
                <w:numId w:val="5"/>
              </w:numPr>
              <w:spacing w:after="50" w:line="248" w:lineRule="auto"/>
            </w:pPr>
            <w:r>
              <w:rPr>
                <w:b/>
                <w:bCs/>
              </w:rPr>
              <w:t xml:space="preserve">Medial arch supports / orthotics </w:t>
            </w:r>
            <w:r>
              <w:t>help where there is foot pronation.</w:t>
            </w:r>
          </w:p>
          <w:p w14:paraId="04D69ABF" w14:textId="77777777" w:rsidR="00B571CE" w:rsidRDefault="00000000">
            <w:pPr>
              <w:pStyle w:val="ListParagraph"/>
              <w:numPr>
                <w:ilvl w:val="0"/>
                <w:numId w:val="5"/>
              </w:numPr>
              <w:spacing w:line="248" w:lineRule="auto"/>
            </w:pPr>
            <w:r>
              <w:rPr>
                <w:b/>
                <w:bCs/>
              </w:rPr>
              <w:t xml:space="preserve">Refer to physiotherapy </w:t>
            </w:r>
            <w:r>
              <w:t>for a tailored programme; involve specialist services for diagnostic uncertainty or significant systemic features.</w:t>
            </w:r>
          </w:p>
        </w:tc>
      </w:tr>
      <w:tr w:rsidR="00B571CE" w14:paraId="7FB230CD" w14:textId="77777777">
        <w:tblPrEx>
          <w:tblBorders>
            <w:top w:val="single" w:sz="2" w:space="0" w:color="E08600"/>
            <w:left w:val="single" w:sz="28" w:space="0" w:color="E08600"/>
            <w:bottom w:val="single" w:sz="2" w:space="0" w:color="E08600"/>
            <w:right w:val="single" w:sz="2" w:space="0" w:color="E08600"/>
            <w:insideH w:val="single" w:sz="4" w:space="0" w:color="auto"/>
            <w:insideV w:val="single" w:sz="4" w:space="0" w:color="auto"/>
          </w:tblBorders>
          <w:tblCellMar>
            <w:top w:w="0" w:type="dxa"/>
            <w:bottom w:w="0" w:type="dxa"/>
          </w:tblCellMar>
        </w:tblPrEx>
        <w:trPr>
          <w:gridBefore w:val="1"/>
          <w:wBefore w:w="35" w:type="dxa"/>
          <w:cantSplit/>
        </w:trPr>
        <w:tc>
          <w:tcPr>
            <w:tcW w:w="9746" w:type="dxa"/>
            <w:gridSpan w:val="3"/>
            <w:shd w:val="clear" w:color="auto" w:fill="FEF4E2"/>
            <w:tcMar>
              <w:top w:w="110" w:type="dxa"/>
              <w:left w:w="200" w:type="dxa"/>
              <w:bottom w:w="110" w:type="dxa"/>
              <w:right w:w="160" w:type="dxa"/>
            </w:tcMar>
          </w:tcPr>
          <w:p w14:paraId="3AC4C408" w14:textId="77777777" w:rsidR="00B571CE" w:rsidRDefault="00000000">
            <w:pPr>
              <w:spacing w:after="70" w:line="248" w:lineRule="auto"/>
            </w:pPr>
            <w:proofErr w:type="gramStart"/>
            <w:r>
              <w:rPr>
                <w:b/>
                <w:bCs/>
                <w:color w:val="9A5B00"/>
              </w:rPr>
              <w:lastRenderedPageBreak/>
              <w:t>◆  What's</w:t>
            </w:r>
            <w:proofErr w:type="gramEnd"/>
            <w:r>
              <w:rPr>
                <w:b/>
                <w:bCs/>
                <w:color w:val="9A5B00"/>
              </w:rPr>
              <w:t xml:space="preserve"> changed from older teaching</w:t>
            </w:r>
          </w:p>
          <w:p w14:paraId="29A13283" w14:textId="77777777" w:rsidR="00B571CE" w:rsidRDefault="00000000">
            <w:pPr>
              <w:pStyle w:val="ListParagraph"/>
              <w:numPr>
                <w:ilvl w:val="0"/>
                <w:numId w:val="6"/>
              </w:numPr>
              <w:spacing w:after="50" w:line="248" w:lineRule="auto"/>
            </w:pPr>
            <w:r>
              <w:rPr>
                <w:b/>
                <w:bCs/>
              </w:rPr>
              <w:t>'Joint hypermobility syndrome' and the Brighton criteria are retired</w:t>
            </w:r>
            <w:r>
              <w:t xml:space="preserve"> — replaced by </w:t>
            </w:r>
            <w:proofErr w:type="spellStart"/>
            <w:r>
              <w:t>hEDS</w:t>
            </w:r>
            <w:proofErr w:type="spellEnd"/>
            <w:r>
              <w:t xml:space="preserve"> and HSD (2017 international classification).</w:t>
            </w:r>
          </w:p>
          <w:p w14:paraId="281B89A2" w14:textId="77777777" w:rsidR="00B571CE" w:rsidRDefault="00000000">
            <w:pPr>
              <w:pStyle w:val="ListParagraph"/>
              <w:numPr>
                <w:ilvl w:val="0"/>
                <w:numId w:val="6"/>
              </w:numPr>
              <w:spacing w:after="50" w:line="248" w:lineRule="auto"/>
            </w:pPr>
            <w:r>
              <w:rPr>
                <w:b/>
                <w:bCs/>
              </w:rPr>
              <w:t>GJH thresholds are age-adjusted</w:t>
            </w:r>
            <w:r>
              <w:t xml:space="preserve"> (≥6 pre-puberty, ≥5 in adults, ≥4 over 50) — not a single '≥4 + arthralgia' rule.</w:t>
            </w:r>
          </w:p>
          <w:p w14:paraId="437BCE9D" w14:textId="77777777" w:rsidR="00B571CE" w:rsidRDefault="00000000">
            <w:pPr>
              <w:pStyle w:val="ListParagraph"/>
              <w:numPr>
                <w:ilvl w:val="0"/>
                <w:numId w:val="6"/>
              </w:numPr>
              <w:spacing w:line="248" w:lineRule="auto"/>
            </w:pPr>
            <w:r>
              <w:rPr>
                <w:b/>
                <w:bCs/>
              </w:rPr>
              <w:t>A high Beighton score alone no longer 'diagnoses' anything</w:t>
            </w:r>
            <w:r>
              <w:t xml:space="preserve"> — symptoms and the full criteria matter.</w:t>
            </w:r>
          </w:p>
        </w:tc>
      </w:tr>
      <w:tr w:rsidR="00B571CE" w14:paraId="364C6072" w14:textId="77777777">
        <w:tblPrEx>
          <w:tblBorders>
            <w:top w:val="single" w:sz="2" w:space="0" w:color="7A4FA3"/>
            <w:left w:val="single" w:sz="28" w:space="0" w:color="7A4FA3"/>
            <w:bottom w:val="single" w:sz="2" w:space="0" w:color="7A4FA3"/>
            <w:right w:val="single" w:sz="2" w:space="0" w:color="7A4FA3"/>
            <w:insideH w:val="single" w:sz="4" w:space="0" w:color="auto"/>
            <w:insideV w:val="single" w:sz="4" w:space="0" w:color="auto"/>
          </w:tblBorders>
          <w:tblCellMar>
            <w:top w:w="0" w:type="dxa"/>
            <w:bottom w:w="0" w:type="dxa"/>
          </w:tblCellMar>
        </w:tblPrEx>
        <w:trPr>
          <w:gridBefore w:val="1"/>
          <w:wBefore w:w="35" w:type="dxa"/>
          <w:cantSplit/>
        </w:trPr>
        <w:tc>
          <w:tcPr>
            <w:tcW w:w="9746" w:type="dxa"/>
            <w:gridSpan w:val="3"/>
            <w:shd w:val="clear" w:color="auto" w:fill="F1EAF8"/>
            <w:tcMar>
              <w:top w:w="110" w:type="dxa"/>
              <w:left w:w="200" w:type="dxa"/>
              <w:bottom w:w="110" w:type="dxa"/>
              <w:right w:w="160" w:type="dxa"/>
            </w:tcMar>
          </w:tcPr>
          <w:p w14:paraId="72072B85" w14:textId="77777777" w:rsidR="00B571CE" w:rsidRDefault="00000000">
            <w:pPr>
              <w:spacing w:after="70" w:line="248" w:lineRule="auto"/>
            </w:pPr>
            <w:proofErr w:type="gramStart"/>
            <w:r>
              <w:rPr>
                <w:b/>
                <w:bCs/>
                <w:color w:val="5E3A82"/>
              </w:rPr>
              <w:t>■  Disclaimer</w:t>
            </w:r>
            <w:proofErr w:type="gramEnd"/>
            <w:r>
              <w:rPr>
                <w:b/>
                <w:bCs/>
                <w:color w:val="5E3A82"/>
              </w:rPr>
              <w:t xml:space="preserve"> &amp; verification</w:t>
            </w:r>
          </w:p>
          <w:p w14:paraId="181D81AF" w14:textId="77777777" w:rsidR="00B571CE" w:rsidRDefault="00000000">
            <w:pPr>
              <w:spacing w:after="60" w:line="252" w:lineRule="auto"/>
            </w:pPr>
            <w:r>
              <w:rPr>
                <w:b/>
                <w:bCs/>
                <w:color w:val="5E3A82"/>
              </w:rPr>
              <w:t xml:space="preserve">Key sources used for this update: </w:t>
            </w:r>
            <w:r>
              <w:t>2017 International Classification of the Ehlers–Danlos Syndromes (</w:t>
            </w:r>
            <w:proofErr w:type="spellStart"/>
            <w:r>
              <w:t>hEDS</w:t>
            </w:r>
            <w:proofErr w:type="spellEnd"/>
            <w:r>
              <w:t xml:space="preserve"> criteria) and hypermobility spectrum disorders; Beighton scoring &amp; 5-part questionnaire (Hakim &amp; Grahame); NICE CKS / Ehlers-Danlos Support UK educational resources.</w:t>
            </w:r>
          </w:p>
          <w:p w14:paraId="3F04CD7F" w14:textId="77777777" w:rsidR="00B571CE" w:rsidRDefault="00000000">
            <w:pPr>
              <w:spacing w:line="252" w:lineRule="auto"/>
            </w:pPr>
            <w: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2B1CD10E" w14:textId="77777777" w:rsidR="000F6413" w:rsidRDefault="000F6413"/>
    <w:sectPr w:rsidR="000F6413">
      <w:footerReference w:type="default" r:id="rId8"/>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66838" w14:textId="77777777" w:rsidR="000F6413" w:rsidRDefault="000F6413">
      <w:r>
        <w:separator/>
      </w:r>
    </w:p>
  </w:endnote>
  <w:endnote w:type="continuationSeparator" w:id="0">
    <w:p w14:paraId="2F5B0AEF" w14:textId="77777777" w:rsidR="000F6413" w:rsidRDefault="000F6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7E7F5" w14:textId="77777777" w:rsidR="00B571CE" w:rsidRDefault="00B571CE">
    <w:pPr>
      <w:pBdr>
        <w:top w:val="single" w:sz="8" w:space="4" w:color="E2661A"/>
      </w:pBdr>
      <w:spacing w:before="40" w:after="20"/>
    </w:pPr>
  </w:p>
  <w:p w14:paraId="065A885C" w14:textId="77777777" w:rsidR="00B571CE" w:rsidRDefault="00000000">
    <w:pPr>
      <w:tabs>
        <w:tab w:val="right" w:pos="9746"/>
      </w:tabs>
      <w:spacing w:line="224" w:lineRule="auto"/>
    </w:pPr>
    <w:r>
      <w:rPr>
        <w:i/>
        <w:iCs/>
        <w:color w:val="5A636E"/>
        <w:sz w:val="14"/>
        <w:szCs w:val="14"/>
      </w:rPr>
      <w:t>Joint Hypermobility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682471">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05BF8" w14:textId="77777777" w:rsidR="000F6413" w:rsidRDefault="000F6413">
      <w:r>
        <w:separator/>
      </w:r>
    </w:p>
  </w:footnote>
  <w:footnote w:type="continuationSeparator" w:id="0">
    <w:p w14:paraId="3BB3DFE1" w14:textId="77777777" w:rsidR="000F6413" w:rsidRDefault="000F64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9684D"/>
    <w:multiLevelType w:val="hybridMultilevel"/>
    <w:tmpl w:val="7634166C"/>
    <w:lvl w:ilvl="0" w:tplc="6E0073EA">
      <w:start w:val="1"/>
      <w:numFmt w:val="bullet"/>
      <w:lvlText w:val="●"/>
      <w:lvlJc w:val="left"/>
      <w:pPr>
        <w:ind w:left="720" w:hanging="360"/>
      </w:pPr>
    </w:lvl>
    <w:lvl w:ilvl="1" w:tplc="65780CCA">
      <w:start w:val="1"/>
      <w:numFmt w:val="bullet"/>
      <w:lvlText w:val="○"/>
      <w:lvlJc w:val="left"/>
      <w:pPr>
        <w:ind w:left="1440" w:hanging="360"/>
      </w:pPr>
    </w:lvl>
    <w:lvl w:ilvl="2" w:tplc="FADEA548">
      <w:start w:val="1"/>
      <w:numFmt w:val="bullet"/>
      <w:lvlText w:val="■"/>
      <w:lvlJc w:val="left"/>
      <w:pPr>
        <w:ind w:left="2160" w:hanging="360"/>
      </w:pPr>
    </w:lvl>
    <w:lvl w:ilvl="3" w:tplc="4E581F0C">
      <w:start w:val="1"/>
      <w:numFmt w:val="bullet"/>
      <w:lvlText w:val="●"/>
      <w:lvlJc w:val="left"/>
      <w:pPr>
        <w:ind w:left="2880" w:hanging="360"/>
      </w:pPr>
    </w:lvl>
    <w:lvl w:ilvl="4" w:tplc="644E935E">
      <w:start w:val="1"/>
      <w:numFmt w:val="bullet"/>
      <w:lvlText w:val="○"/>
      <w:lvlJc w:val="left"/>
      <w:pPr>
        <w:ind w:left="3600" w:hanging="360"/>
      </w:pPr>
    </w:lvl>
    <w:lvl w:ilvl="5" w:tplc="1D549694">
      <w:start w:val="1"/>
      <w:numFmt w:val="bullet"/>
      <w:lvlText w:val="■"/>
      <w:lvlJc w:val="left"/>
      <w:pPr>
        <w:ind w:left="4320" w:hanging="360"/>
      </w:pPr>
    </w:lvl>
    <w:lvl w:ilvl="6" w:tplc="487075C2">
      <w:start w:val="1"/>
      <w:numFmt w:val="bullet"/>
      <w:lvlText w:val="●"/>
      <w:lvlJc w:val="left"/>
      <w:pPr>
        <w:ind w:left="5040" w:hanging="360"/>
      </w:pPr>
    </w:lvl>
    <w:lvl w:ilvl="7" w:tplc="02A6D790">
      <w:start w:val="1"/>
      <w:numFmt w:val="bullet"/>
      <w:lvlText w:val="●"/>
      <w:lvlJc w:val="left"/>
      <w:pPr>
        <w:ind w:left="5760" w:hanging="360"/>
      </w:pPr>
    </w:lvl>
    <w:lvl w:ilvl="8" w:tplc="499A2CD2">
      <w:start w:val="1"/>
      <w:numFmt w:val="bullet"/>
      <w:lvlText w:val="●"/>
      <w:lvlJc w:val="left"/>
      <w:pPr>
        <w:ind w:left="6480" w:hanging="360"/>
      </w:pPr>
    </w:lvl>
  </w:abstractNum>
  <w:abstractNum w:abstractNumId="1" w15:restartNumberingAfterBreak="0">
    <w:nsid w:val="186473AA"/>
    <w:multiLevelType w:val="hybridMultilevel"/>
    <w:tmpl w:val="0D82B9BC"/>
    <w:lvl w:ilvl="0" w:tplc="0944E804">
      <w:start w:val="1"/>
      <w:numFmt w:val="bullet"/>
      <w:lvlText w:val="•"/>
      <w:lvlJc w:val="left"/>
      <w:pPr>
        <w:ind w:left="320" w:hanging="210"/>
      </w:pPr>
      <w:rPr>
        <w:color w:val="1F9E94"/>
      </w:rPr>
    </w:lvl>
    <w:lvl w:ilvl="1" w:tplc="77928860">
      <w:numFmt w:val="decimal"/>
      <w:lvlText w:val=""/>
      <w:lvlJc w:val="left"/>
    </w:lvl>
    <w:lvl w:ilvl="2" w:tplc="5072A598">
      <w:numFmt w:val="decimal"/>
      <w:lvlText w:val=""/>
      <w:lvlJc w:val="left"/>
    </w:lvl>
    <w:lvl w:ilvl="3" w:tplc="27A2B638">
      <w:numFmt w:val="decimal"/>
      <w:lvlText w:val=""/>
      <w:lvlJc w:val="left"/>
    </w:lvl>
    <w:lvl w:ilvl="4" w:tplc="F3268532">
      <w:numFmt w:val="decimal"/>
      <w:lvlText w:val=""/>
      <w:lvlJc w:val="left"/>
    </w:lvl>
    <w:lvl w:ilvl="5" w:tplc="38801066">
      <w:numFmt w:val="decimal"/>
      <w:lvlText w:val=""/>
      <w:lvlJc w:val="left"/>
    </w:lvl>
    <w:lvl w:ilvl="6" w:tplc="6DE0C1FA">
      <w:numFmt w:val="decimal"/>
      <w:lvlText w:val=""/>
      <w:lvlJc w:val="left"/>
    </w:lvl>
    <w:lvl w:ilvl="7" w:tplc="2E1A2312">
      <w:numFmt w:val="decimal"/>
      <w:lvlText w:val=""/>
      <w:lvlJc w:val="left"/>
    </w:lvl>
    <w:lvl w:ilvl="8" w:tplc="CCF8FF24">
      <w:numFmt w:val="decimal"/>
      <w:lvlText w:val=""/>
      <w:lvlJc w:val="left"/>
    </w:lvl>
  </w:abstractNum>
  <w:abstractNum w:abstractNumId="2" w15:restartNumberingAfterBreak="0">
    <w:nsid w:val="1E427BC6"/>
    <w:multiLevelType w:val="hybridMultilevel"/>
    <w:tmpl w:val="7416DC2A"/>
    <w:lvl w:ilvl="0" w:tplc="D916E328">
      <w:start w:val="1"/>
      <w:numFmt w:val="bullet"/>
      <w:lvlText w:val="•"/>
      <w:lvlJc w:val="left"/>
      <w:pPr>
        <w:ind w:left="320" w:hanging="210"/>
      </w:pPr>
      <w:rPr>
        <w:color w:val="E08600"/>
      </w:rPr>
    </w:lvl>
    <w:lvl w:ilvl="1" w:tplc="256E34A6">
      <w:numFmt w:val="decimal"/>
      <w:lvlText w:val=""/>
      <w:lvlJc w:val="left"/>
    </w:lvl>
    <w:lvl w:ilvl="2" w:tplc="1CF8BBBE">
      <w:numFmt w:val="decimal"/>
      <w:lvlText w:val=""/>
      <w:lvlJc w:val="left"/>
    </w:lvl>
    <w:lvl w:ilvl="3" w:tplc="06D6A3DA">
      <w:numFmt w:val="decimal"/>
      <w:lvlText w:val=""/>
      <w:lvlJc w:val="left"/>
    </w:lvl>
    <w:lvl w:ilvl="4" w:tplc="8694716A">
      <w:numFmt w:val="decimal"/>
      <w:lvlText w:val=""/>
      <w:lvlJc w:val="left"/>
    </w:lvl>
    <w:lvl w:ilvl="5" w:tplc="93F6EA4A">
      <w:numFmt w:val="decimal"/>
      <w:lvlText w:val=""/>
      <w:lvlJc w:val="left"/>
    </w:lvl>
    <w:lvl w:ilvl="6" w:tplc="B1D4A594">
      <w:numFmt w:val="decimal"/>
      <w:lvlText w:val=""/>
      <w:lvlJc w:val="left"/>
    </w:lvl>
    <w:lvl w:ilvl="7" w:tplc="958CCAD8">
      <w:numFmt w:val="decimal"/>
      <w:lvlText w:val=""/>
      <w:lvlJc w:val="left"/>
    </w:lvl>
    <w:lvl w:ilvl="8" w:tplc="69E4CE46">
      <w:numFmt w:val="decimal"/>
      <w:lvlText w:val=""/>
      <w:lvlJc w:val="left"/>
    </w:lvl>
  </w:abstractNum>
  <w:abstractNum w:abstractNumId="3" w15:restartNumberingAfterBreak="0">
    <w:nsid w:val="29E26E40"/>
    <w:multiLevelType w:val="hybridMultilevel"/>
    <w:tmpl w:val="CEF2D1F6"/>
    <w:lvl w:ilvl="0" w:tplc="61C64114">
      <w:start w:val="1"/>
      <w:numFmt w:val="bullet"/>
      <w:lvlText w:val="•"/>
      <w:lvlJc w:val="left"/>
      <w:pPr>
        <w:ind w:left="320" w:hanging="210"/>
      </w:pPr>
      <w:rPr>
        <w:color w:val="7A4FA3"/>
      </w:rPr>
    </w:lvl>
    <w:lvl w:ilvl="1" w:tplc="0816A4EA">
      <w:numFmt w:val="decimal"/>
      <w:lvlText w:val=""/>
      <w:lvlJc w:val="left"/>
    </w:lvl>
    <w:lvl w:ilvl="2" w:tplc="38C412B0">
      <w:numFmt w:val="decimal"/>
      <w:lvlText w:val=""/>
      <w:lvlJc w:val="left"/>
    </w:lvl>
    <w:lvl w:ilvl="3" w:tplc="2CB43A18">
      <w:numFmt w:val="decimal"/>
      <w:lvlText w:val=""/>
      <w:lvlJc w:val="left"/>
    </w:lvl>
    <w:lvl w:ilvl="4" w:tplc="1FCC496A">
      <w:numFmt w:val="decimal"/>
      <w:lvlText w:val=""/>
      <w:lvlJc w:val="left"/>
    </w:lvl>
    <w:lvl w:ilvl="5" w:tplc="F13E88E2">
      <w:numFmt w:val="decimal"/>
      <w:lvlText w:val=""/>
      <w:lvlJc w:val="left"/>
    </w:lvl>
    <w:lvl w:ilvl="6" w:tplc="C3F29B84">
      <w:numFmt w:val="decimal"/>
      <w:lvlText w:val=""/>
      <w:lvlJc w:val="left"/>
    </w:lvl>
    <w:lvl w:ilvl="7" w:tplc="7CC4CD46">
      <w:numFmt w:val="decimal"/>
      <w:lvlText w:val=""/>
      <w:lvlJc w:val="left"/>
    </w:lvl>
    <w:lvl w:ilvl="8" w:tplc="8A242EBE">
      <w:numFmt w:val="decimal"/>
      <w:lvlText w:val=""/>
      <w:lvlJc w:val="left"/>
    </w:lvl>
  </w:abstractNum>
  <w:abstractNum w:abstractNumId="4" w15:restartNumberingAfterBreak="0">
    <w:nsid w:val="2E88412C"/>
    <w:multiLevelType w:val="hybridMultilevel"/>
    <w:tmpl w:val="DB644DBE"/>
    <w:lvl w:ilvl="0" w:tplc="CC7C3748">
      <w:start w:val="1"/>
      <w:numFmt w:val="decimal"/>
      <w:lvlText w:val="%1."/>
      <w:lvlJc w:val="left"/>
      <w:pPr>
        <w:ind w:left="380" w:hanging="250"/>
      </w:pPr>
      <w:rPr>
        <w:b/>
        <w:bCs/>
        <w:color w:val="C0530F"/>
      </w:rPr>
    </w:lvl>
    <w:lvl w:ilvl="1" w:tplc="4A1EDE54">
      <w:numFmt w:val="decimal"/>
      <w:lvlText w:val=""/>
      <w:lvlJc w:val="left"/>
    </w:lvl>
    <w:lvl w:ilvl="2" w:tplc="EA681736">
      <w:numFmt w:val="decimal"/>
      <w:lvlText w:val=""/>
      <w:lvlJc w:val="left"/>
    </w:lvl>
    <w:lvl w:ilvl="3" w:tplc="E45AD99C">
      <w:numFmt w:val="decimal"/>
      <w:lvlText w:val=""/>
      <w:lvlJc w:val="left"/>
    </w:lvl>
    <w:lvl w:ilvl="4" w:tplc="F04E7302">
      <w:numFmt w:val="decimal"/>
      <w:lvlText w:val=""/>
      <w:lvlJc w:val="left"/>
    </w:lvl>
    <w:lvl w:ilvl="5" w:tplc="8310A686">
      <w:numFmt w:val="decimal"/>
      <w:lvlText w:val=""/>
      <w:lvlJc w:val="left"/>
    </w:lvl>
    <w:lvl w:ilvl="6" w:tplc="01EAD1AE">
      <w:numFmt w:val="decimal"/>
      <w:lvlText w:val=""/>
      <w:lvlJc w:val="left"/>
    </w:lvl>
    <w:lvl w:ilvl="7" w:tplc="B27CE570">
      <w:numFmt w:val="decimal"/>
      <w:lvlText w:val=""/>
      <w:lvlJc w:val="left"/>
    </w:lvl>
    <w:lvl w:ilvl="8" w:tplc="AF4A2DC6">
      <w:numFmt w:val="decimal"/>
      <w:lvlText w:val=""/>
      <w:lvlJc w:val="left"/>
    </w:lvl>
  </w:abstractNum>
  <w:abstractNum w:abstractNumId="5" w15:restartNumberingAfterBreak="0">
    <w:nsid w:val="36A10702"/>
    <w:multiLevelType w:val="hybridMultilevel"/>
    <w:tmpl w:val="02CEEB44"/>
    <w:lvl w:ilvl="0" w:tplc="36E41A8A">
      <w:start w:val="1"/>
      <w:numFmt w:val="decimal"/>
      <w:lvlText w:val="%1."/>
      <w:lvlJc w:val="left"/>
      <w:pPr>
        <w:ind w:left="380" w:hanging="250"/>
      </w:pPr>
      <w:rPr>
        <w:b/>
        <w:bCs/>
        <w:color w:val="C0530F"/>
      </w:rPr>
    </w:lvl>
    <w:lvl w:ilvl="1" w:tplc="86889A92">
      <w:numFmt w:val="decimal"/>
      <w:lvlText w:val=""/>
      <w:lvlJc w:val="left"/>
    </w:lvl>
    <w:lvl w:ilvl="2" w:tplc="7A00F656">
      <w:numFmt w:val="decimal"/>
      <w:lvlText w:val=""/>
      <w:lvlJc w:val="left"/>
    </w:lvl>
    <w:lvl w:ilvl="3" w:tplc="C6564418">
      <w:numFmt w:val="decimal"/>
      <w:lvlText w:val=""/>
      <w:lvlJc w:val="left"/>
    </w:lvl>
    <w:lvl w:ilvl="4" w:tplc="D5DE212E">
      <w:numFmt w:val="decimal"/>
      <w:lvlText w:val=""/>
      <w:lvlJc w:val="left"/>
    </w:lvl>
    <w:lvl w:ilvl="5" w:tplc="58B2FFD4">
      <w:numFmt w:val="decimal"/>
      <w:lvlText w:val=""/>
      <w:lvlJc w:val="left"/>
    </w:lvl>
    <w:lvl w:ilvl="6" w:tplc="F5685ED2">
      <w:numFmt w:val="decimal"/>
      <w:lvlText w:val=""/>
      <w:lvlJc w:val="left"/>
    </w:lvl>
    <w:lvl w:ilvl="7" w:tplc="36EEBC3C">
      <w:numFmt w:val="decimal"/>
      <w:lvlText w:val=""/>
      <w:lvlJc w:val="left"/>
    </w:lvl>
    <w:lvl w:ilvl="8" w:tplc="B92A2506">
      <w:numFmt w:val="decimal"/>
      <w:lvlText w:val=""/>
      <w:lvlJc w:val="left"/>
    </w:lvl>
  </w:abstractNum>
  <w:abstractNum w:abstractNumId="6" w15:restartNumberingAfterBreak="0">
    <w:nsid w:val="3B527EDB"/>
    <w:multiLevelType w:val="hybridMultilevel"/>
    <w:tmpl w:val="EF66CC6E"/>
    <w:lvl w:ilvl="0" w:tplc="45960478">
      <w:start w:val="1"/>
      <w:numFmt w:val="bullet"/>
      <w:lvlText w:val="•"/>
      <w:lvlJc w:val="left"/>
      <w:pPr>
        <w:ind w:left="320" w:hanging="210"/>
      </w:pPr>
      <w:rPr>
        <w:color w:val="2E75B6"/>
      </w:rPr>
    </w:lvl>
    <w:lvl w:ilvl="1" w:tplc="ADD449DE">
      <w:numFmt w:val="decimal"/>
      <w:lvlText w:val=""/>
      <w:lvlJc w:val="left"/>
    </w:lvl>
    <w:lvl w:ilvl="2" w:tplc="48D81B16">
      <w:numFmt w:val="decimal"/>
      <w:lvlText w:val=""/>
      <w:lvlJc w:val="left"/>
    </w:lvl>
    <w:lvl w:ilvl="3" w:tplc="60667FEE">
      <w:numFmt w:val="decimal"/>
      <w:lvlText w:val=""/>
      <w:lvlJc w:val="left"/>
    </w:lvl>
    <w:lvl w:ilvl="4" w:tplc="2BE4588E">
      <w:numFmt w:val="decimal"/>
      <w:lvlText w:val=""/>
      <w:lvlJc w:val="left"/>
    </w:lvl>
    <w:lvl w:ilvl="5" w:tplc="A808E71A">
      <w:numFmt w:val="decimal"/>
      <w:lvlText w:val=""/>
      <w:lvlJc w:val="left"/>
    </w:lvl>
    <w:lvl w:ilvl="6" w:tplc="5498DE4A">
      <w:numFmt w:val="decimal"/>
      <w:lvlText w:val=""/>
      <w:lvlJc w:val="left"/>
    </w:lvl>
    <w:lvl w:ilvl="7" w:tplc="3C283064">
      <w:numFmt w:val="decimal"/>
      <w:lvlText w:val=""/>
      <w:lvlJc w:val="left"/>
    </w:lvl>
    <w:lvl w:ilvl="8" w:tplc="C82A899A">
      <w:numFmt w:val="decimal"/>
      <w:lvlText w:val=""/>
      <w:lvlJc w:val="left"/>
    </w:lvl>
  </w:abstractNum>
  <w:abstractNum w:abstractNumId="7" w15:restartNumberingAfterBreak="0">
    <w:nsid w:val="682E6B82"/>
    <w:multiLevelType w:val="hybridMultilevel"/>
    <w:tmpl w:val="6E481820"/>
    <w:lvl w:ilvl="0" w:tplc="D422920E">
      <w:start w:val="1"/>
      <w:numFmt w:val="bullet"/>
      <w:lvlText w:val="•"/>
      <w:lvlJc w:val="left"/>
      <w:pPr>
        <w:ind w:left="320" w:hanging="210"/>
      </w:pPr>
      <w:rPr>
        <w:color w:val="2EA057"/>
      </w:rPr>
    </w:lvl>
    <w:lvl w:ilvl="1" w:tplc="A184E70E">
      <w:numFmt w:val="decimal"/>
      <w:lvlText w:val=""/>
      <w:lvlJc w:val="left"/>
    </w:lvl>
    <w:lvl w:ilvl="2" w:tplc="9D6EF260">
      <w:numFmt w:val="decimal"/>
      <w:lvlText w:val=""/>
      <w:lvlJc w:val="left"/>
    </w:lvl>
    <w:lvl w:ilvl="3" w:tplc="DD28F390">
      <w:numFmt w:val="decimal"/>
      <w:lvlText w:val=""/>
      <w:lvlJc w:val="left"/>
    </w:lvl>
    <w:lvl w:ilvl="4" w:tplc="7E78320A">
      <w:numFmt w:val="decimal"/>
      <w:lvlText w:val=""/>
      <w:lvlJc w:val="left"/>
    </w:lvl>
    <w:lvl w:ilvl="5" w:tplc="36942290">
      <w:numFmt w:val="decimal"/>
      <w:lvlText w:val=""/>
      <w:lvlJc w:val="left"/>
    </w:lvl>
    <w:lvl w:ilvl="6" w:tplc="64BAC006">
      <w:numFmt w:val="decimal"/>
      <w:lvlText w:val=""/>
      <w:lvlJc w:val="left"/>
    </w:lvl>
    <w:lvl w:ilvl="7" w:tplc="34A409A8">
      <w:numFmt w:val="decimal"/>
      <w:lvlText w:val=""/>
      <w:lvlJc w:val="left"/>
    </w:lvl>
    <w:lvl w:ilvl="8" w:tplc="B48A9068">
      <w:numFmt w:val="decimal"/>
      <w:lvlText w:val=""/>
      <w:lvlJc w:val="left"/>
    </w:lvl>
  </w:abstractNum>
  <w:abstractNum w:abstractNumId="8" w15:restartNumberingAfterBreak="0">
    <w:nsid w:val="7CD24882"/>
    <w:multiLevelType w:val="hybridMultilevel"/>
    <w:tmpl w:val="E6AAC126"/>
    <w:lvl w:ilvl="0" w:tplc="73749116">
      <w:start w:val="1"/>
      <w:numFmt w:val="bullet"/>
      <w:lvlText w:val="•"/>
      <w:lvlJc w:val="left"/>
      <w:pPr>
        <w:ind w:left="360" w:hanging="220"/>
      </w:pPr>
      <w:rPr>
        <w:color w:val="E2661A"/>
      </w:rPr>
    </w:lvl>
    <w:lvl w:ilvl="1" w:tplc="618E1AC6">
      <w:start w:val="1"/>
      <w:numFmt w:val="bullet"/>
      <w:lvlText w:val="–"/>
      <w:lvlJc w:val="left"/>
      <w:pPr>
        <w:ind w:left="720" w:hanging="220"/>
      </w:pPr>
      <w:rPr>
        <w:color w:val="5A636E"/>
      </w:rPr>
    </w:lvl>
    <w:lvl w:ilvl="2" w:tplc="A08EFD92">
      <w:numFmt w:val="decimal"/>
      <w:lvlText w:val=""/>
      <w:lvlJc w:val="left"/>
    </w:lvl>
    <w:lvl w:ilvl="3" w:tplc="8CA8AD50">
      <w:numFmt w:val="decimal"/>
      <w:lvlText w:val=""/>
      <w:lvlJc w:val="left"/>
    </w:lvl>
    <w:lvl w:ilvl="4" w:tplc="896C6A40">
      <w:numFmt w:val="decimal"/>
      <w:lvlText w:val=""/>
      <w:lvlJc w:val="left"/>
    </w:lvl>
    <w:lvl w:ilvl="5" w:tplc="8288FF0E">
      <w:numFmt w:val="decimal"/>
      <w:lvlText w:val=""/>
      <w:lvlJc w:val="left"/>
    </w:lvl>
    <w:lvl w:ilvl="6" w:tplc="75F8486C">
      <w:numFmt w:val="decimal"/>
      <w:lvlText w:val=""/>
      <w:lvlJc w:val="left"/>
    </w:lvl>
    <w:lvl w:ilvl="7" w:tplc="DFEE3DFC">
      <w:numFmt w:val="decimal"/>
      <w:lvlText w:val=""/>
      <w:lvlJc w:val="left"/>
    </w:lvl>
    <w:lvl w:ilvl="8" w:tplc="6DEC798C">
      <w:numFmt w:val="decimal"/>
      <w:lvlText w:val=""/>
      <w:lvlJc w:val="left"/>
    </w:lvl>
  </w:abstractNum>
  <w:abstractNum w:abstractNumId="9" w15:restartNumberingAfterBreak="0">
    <w:nsid w:val="7F5365A0"/>
    <w:multiLevelType w:val="hybridMultilevel"/>
    <w:tmpl w:val="D7E887D4"/>
    <w:lvl w:ilvl="0" w:tplc="7466FB8A">
      <w:start w:val="1"/>
      <w:numFmt w:val="bullet"/>
      <w:lvlText w:val="•"/>
      <w:lvlJc w:val="left"/>
      <w:pPr>
        <w:ind w:left="320" w:hanging="210"/>
      </w:pPr>
      <w:rPr>
        <w:color w:val="D34747"/>
      </w:rPr>
    </w:lvl>
    <w:lvl w:ilvl="1" w:tplc="845C6734">
      <w:numFmt w:val="decimal"/>
      <w:lvlText w:val=""/>
      <w:lvlJc w:val="left"/>
    </w:lvl>
    <w:lvl w:ilvl="2" w:tplc="D37276B0">
      <w:numFmt w:val="decimal"/>
      <w:lvlText w:val=""/>
      <w:lvlJc w:val="left"/>
    </w:lvl>
    <w:lvl w:ilvl="3" w:tplc="B7E45E2A">
      <w:numFmt w:val="decimal"/>
      <w:lvlText w:val=""/>
      <w:lvlJc w:val="left"/>
    </w:lvl>
    <w:lvl w:ilvl="4" w:tplc="F70C1BB0">
      <w:numFmt w:val="decimal"/>
      <w:lvlText w:val=""/>
      <w:lvlJc w:val="left"/>
    </w:lvl>
    <w:lvl w:ilvl="5" w:tplc="9BF69430">
      <w:numFmt w:val="decimal"/>
      <w:lvlText w:val=""/>
      <w:lvlJc w:val="left"/>
    </w:lvl>
    <w:lvl w:ilvl="6" w:tplc="64DE0586">
      <w:numFmt w:val="decimal"/>
      <w:lvlText w:val=""/>
      <w:lvlJc w:val="left"/>
    </w:lvl>
    <w:lvl w:ilvl="7" w:tplc="576402A6">
      <w:numFmt w:val="decimal"/>
      <w:lvlText w:val=""/>
      <w:lvlJc w:val="left"/>
    </w:lvl>
    <w:lvl w:ilvl="8" w:tplc="FC3C285C">
      <w:numFmt w:val="decimal"/>
      <w:lvlText w:val=""/>
      <w:lvlJc w:val="left"/>
    </w:lvl>
  </w:abstractNum>
  <w:abstractNum w:abstractNumId="10" w15:restartNumberingAfterBreak="0">
    <w:nsid w:val="7F92646F"/>
    <w:multiLevelType w:val="hybridMultilevel"/>
    <w:tmpl w:val="67942A9C"/>
    <w:lvl w:ilvl="0" w:tplc="27D0BA72">
      <w:start w:val="1"/>
      <w:numFmt w:val="decimal"/>
      <w:lvlText w:val="%1"/>
      <w:lvlJc w:val="center"/>
      <w:pPr>
        <w:ind w:left="380" w:hanging="250"/>
      </w:pPr>
      <w:rPr>
        <w:b/>
        <w:bCs/>
        <w:color w:val="FFFFFF"/>
      </w:rPr>
    </w:lvl>
    <w:lvl w:ilvl="1" w:tplc="2580FEB6">
      <w:numFmt w:val="decimal"/>
      <w:lvlText w:val=""/>
      <w:lvlJc w:val="left"/>
    </w:lvl>
    <w:lvl w:ilvl="2" w:tplc="2B1AEF8E">
      <w:numFmt w:val="decimal"/>
      <w:lvlText w:val=""/>
      <w:lvlJc w:val="left"/>
    </w:lvl>
    <w:lvl w:ilvl="3" w:tplc="D1D687A4">
      <w:numFmt w:val="decimal"/>
      <w:lvlText w:val=""/>
      <w:lvlJc w:val="left"/>
    </w:lvl>
    <w:lvl w:ilvl="4" w:tplc="307C5D9C">
      <w:numFmt w:val="decimal"/>
      <w:lvlText w:val=""/>
      <w:lvlJc w:val="left"/>
    </w:lvl>
    <w:lvl w:ilvl="5" w:tplc="C2DCE2F8">
      <w:numFmt w:val="decimal"/>
      <w:lvlText w:val=""/>
      <w:lvlJc w:val="left"/>
    </w:lvl>
    <w:lvl w:ilvl="6" w:tplc="0922A79A">
      <w:numFmt w:val="decimal"/>
      <w:lvlText w:val=""/>
      <w:lvlJc w:val="left"/>
    </w:lvl>
    <w:lvl w:ilvl="7" w:tplc="6630AD36">
      <w:numFmt w:val="decimal"/>
      <w:lvlText w:val=""/>
      <w:lvlJc w:val="left"/>
    </w:lvl>
    <w:lvl w:ilvl="8" w:tplc="7CBCB9FA">
      <w:numFmt w:val="decimal"/>
      <w:lvlText w:val=""/>
      <w:lvlJc w:val="left"/>
    </w:lvl>
  </w:abstractNum>
  <w:num w:numId="1" w16cid:durableId="1175418772">
    <w:abstractNumId w:val="0"/>
    <w:lvlOverride w:ilvl="0">
      <w:startOverride w:val="1"/>
    </w:lvlOverride>
  </w:num>
  <w:num w:numId="2" w16cid:durableId="1360276399">
    <w:abstractNumId w:val="6"/>
    <w:lvlOverride w:ilvl="0">
      <w:startOverride w:val="1"/>
    </w:lvlOverride>
  </w:num>
  <w:num w:numId="3" w16cid:durableId="112754061">
    <w:abstractNumId w:val="9"/>
    <w:lvlOverride w:ilvl="0">
      <w:startOverride w:val="1"/>
    </w:lvlOverride>
  </w:num>
  <w:num w:numId="4" w16cid:durableId="1784301988">
    <w:abstractNumId w:val="8"/>
    <w:lvlOverride w:ilvl="0">
      <w:startOverride w:val="1"/>
    </w:lvlOverride>
  </w:num>
  <w:num w:numId="5" w16cid:durableId="1218200760">
    <w:abstractNumId w:val="7"/>
    <w:lvlOverride w:ilvl="0">
      <w:startOverride w:val="1"/>
    </w:lvlOverride>
  </w:num>
  <w:num w:numId="6" w16cid:durableId="151283746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71CE"/>
    <w:rsid w:val="000F6413"/>
    <w:rsid w:val="003743AD"/>
    <w:rsid w:val="00682471"/>
    <w:rsid w:val="00B57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C7112"/>
  <w15:docId w15:val="{C44AFD86-79FA-4A9E-BBD7-FEF3F69EB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721</Words>
  <Characters>4110</Characters>
  <Application>Microsoft Office Word</Application>
  <DocSecurity>0</DocSecurity>
  <Lines>34</Lines>
  <Paragraphs>9</Paragraphs>
  <ScaleCrop>false</ScaleCrop>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2026-06-19T14:20:00Z</dcterms:created>
  <dcterms:modified xsi:type="dcterms:W3CDTF">2026-06-19T17:11:00Z</dcterms:modified>
</cp:coreProperties>
</file>