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761BE3C5" w14:textId="77777777">
        <w:tblPrEx>
          <w:tblCellMar>
            <w:top w:w="0" w:type="dxa"/>
            <w:bottom w:w="0" w:type="dxa"/>
          </w:tblCellMar>
        </w:tblPrEx>
        <w:tc>
          <w:tcPr>
            <w:tcW w:w="9026" w:type="dxa"/>
            <w:tcBorders>
              <w:bottom w:val="single" w:sz="36" w:space="0" w:color="B07410"/>
            </w:tcBorders>
            <w:shd w:val="clear" w:color="auto" w:fill="0E5C5B"/>
            <w:tcMar>
              <w:top w:w="360" w:type="dxa"/>
              <w:left w:w="300" w:type="dxa"/>
              <w:bottom w:w="340" w:type="dxa"/>
              <w:right w:w="300" w:type="dxa"/>
            </w:tcMar>
          </w:tcPr>
          <w:p w14:paraId="16B5CB89" w14:textId="77777777" w:rsidR="007D2028" w:rsidRDefault="00000000">
            <w:pPr>
              <w:spacing w:after="140"/>
            </w:pPr>
            <w:r>
              <w:rPr>
                <w:b/>
                <w:bCs/>
                <w:color w:val="BBD9D7"/>
                <w:spacing w:val="80"/>
                <w:sz w:val="18"/>
                <w:szCs w:val="18"/>
              </w:rPr>
              <w:t>BRADFORD VTS TEACHING AIDS</w:t>
            </w:r>
          </w:p>
          <w:p w14:paraId="574DF333" w14:textId="77777777" w:rsidR="007D2028" w:rsidRDefault="00000000">
            <w:pPr>
              <w:spacing w:after="60"/>
            </w:pPr>
            <w:r>
              <w:rPr>
                <w:b/>
                <w:bCs/>
                <w:color w:val="FFFFFF"/>
                <w:sz w:val="54"/>
                <w:szCs w:val="54"/>
              </w:rPr>
              <w:t>Musculoskeletal Examination</w:t>
            </w:r>
          </w:p>
          <w:p w14:paraId="6477E0B7" w14:textId="77777777" w:rsidR="007D2028" w:rsidRDefault="00000000">
            <w:pPr>
              <w:spacing w:after="150"/>
            </w:pPr>
            <w:r>
              <w:rPr>
                <w:b/>
                <w:bCs/>
                <w:color w:val="F2C879"/>
                <w:sz w:val="54"/>
                <w:szCs w:val="54"/>
              </w:rPr>
              <w:t>Top Tips</w:t>
            </w:r>
          </w:p>
          <w:p w14:paraId="65F4A99D" w14:textId="77777777" w:rsidR="007D2028" w:rsidRDefault="00000000">
            <w:r>
              <w:rPr>
                <w:i/>
                <w:iCs/>
                <w:color w:val="DCEAE9"/>
                <w:sz w:val="23"/>
                <w:szCs w:val="23"/>
              </w:rPr>
              <w:t>Practical pearls for examining the knee, shoulder and spine in everyday practice.</w:t>
            </w:r>
          </w:p>
        </w:tc>
      </w:tr>
    </w:tbl>
    <w:p w14:paraId="26FDE073" w14:textId="6D9B39B6" w:rsidR="007D2028" w:rsidRDefault="005001F2">
      <w:pPr>
        <w:tabs>
          <w:tab w:val="right" w:pos="9026"/>
        </w:tabs>
        <w:spacing w:before="160" w:after="40"/>
      </w:pPr>
      <w:r>
        <w:rPr>
          <w:color w:val="5C6E6D"/>
          <w:sz w:val="20"/>
          <w:szCs w:val="20"/>
        </w:rPr>
        <w:t>Adapted by Bradford VTS from an original article by</w:t>
      </w:r>
      <w:r w:rsidR="00000000">
        <w:rPr>
          <w:color w:val="5C6E6D"/>
          <w:sz w:val="20"/>
          <w:szCs w:val="20"/>
        </w:rPr>
        <w:t xml:space="preserve">: </w:t>
      </w:r>
      <w:r w:rsidR="00000000">
        <w:rPr>
          <w:b/>
          <w:bCs/>
          <w:sz w:val="20"/>
          <w:szCs w:val="20"/>
        </w:rPr>
        <w:t>Judith Neaves</w:t>
      </w:r>
      <w:r w:rsidR="00000000">
        <w:rPr>
          <w:color w:val="5C6E6D"/>
          <w:sz w:val="20"/>
          <w:szCs w:val="20"/>
        </w:rPr>
        <w:tab/>
        <w:t>Reviewed &amp; updated: June 2026</w:t>
      </w:r>
    </w:p>
    <w:p w14:paraId="74985432" w14:textId="77777777" w:rsidR="007D2028" w:rsidRDefault="007D2028">
      <w:pPr>
        <w:pBdr>
          <w:bottom w:val="single" w:sz="6" w:space="6" w:color="D5E0DF"/>
        </w:pBdr>
        <w:spacing w:after="160"/>
      </w:pPr>
    </w:p>
    <w:p w14:paraId="12E2F9C1" w14:textId="77777777" w:rsidR="007D2028" w:rsidRDefault="00000000">
      <w:pPr>
        <w:spacing w:after="120" w:line="276" w:lineRule="auto"/>
      </w:pPr>
      <w:r>
        <w:t>A good musculoskeletal examination is structured, gentle and guided by the history. These tips are not a full examination routine. They are practical pearls to sharpen your technique and help you make sense of what you find.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03361FCB" w14:textId="77777777">
        <w:tblPrEx>
          <w:tblCellMar>
            <w:top w:w="0" w:type="dxa"/>
            <w:bottom w:w="0" w:type="dxa"/>
          </w:tblCellMar>
        </w:tblPrEx>
        <w:tc>
          <w:tcPr>
            <w:tcW w:w="9026" w:type="dxa"/>
            <w:tcBorders>
              <w:left w:val="single" w:sz="30" w:space="0" w:color="137E78"/>
            </w:tcBorders>
            <w:shd w:val="clear" w:color="auto" w:fill="F4F6F6"/>
            <w:tcMar>
              <w:top w:w="150" w:type="dxa"/>
              <w:left w:w="220" w:type="dxa"/>
              <w:bottom w:w="130" w:type="dxa"/>
              <w:right w:w="220" w:type="dxa"/>
            </w:tcMar>
          </w:tcPr>
          <w:p w14:paraId="289410B2" w14:textId="77777777" w:rsidR="007D2028" w:rsidRDefault="00000000">
            <w:pPr>
              <w:spacing w:after="70"/>
            </w:pPr>
            <w:r>
              <w:rPr>
                <w:b/>
                <w:bCs/>
                <w:color w:val="137E78"/>
                <w:spacing w:val="50"/>
                <w:sz w:val="16"/>
                <w:szCs w:val="16"/>
              </w:rPr>
              <w:t>HOW TO USE THIS GUIDE</w:t>
            </w:r>
          </w:p>
          <w:p w14:paraId="53513D40" w14:textId="77777777" w:rsidR="007D2028" w:rsidRDefault="00000000">
            <w:pPr>
              <w:pStyle w:val="ListParagraph"/>
              <w:numPr>
                <w:ilvl w:val="0"/>
                <w:numId w:val="2"/>
              </w:numPr>
              <w:spacing w:after="50" w:line="268" w:lineRule="auto"/>
            </w:pPr>
            <w:r>
              <w:t>Always compare the affected side with the other side.</w:t>
            </w:r>
          </w:p>
          <w:p w14:paraId="6EA7B01E" w14:textId="77777777" w:rsidR="007D2028" w:rsidRDefault="00000000">
            <w:pPr>
              <w:pStyle w:val="ListParagraph"/>
              <w:numPr>
                <w:ilvl w:val="0"/>
                <w:numId w:val="2"/>
              </w:numPr>
              <w:spacing w:after="50" w:line="268" w:lineRule="auto"/>
            </w:pPr>
            <w:r>
              <w:t>Watch the patient’s face, not just the joint, for signs of pain.</w:t>
            </w:r>
          </w:p>
          <w:p w14:paraId="321C5002" w14:textId="77777777" w:rsidR="007D2028" w:rsidRDefault="00000000">
            <w:pPr>
              <w:pStyle w:val="ListParagraph"/>
              <w:numPr>
                <w:ilvl w:val="0"/>
                <w:numId w:val="2"/>
              </w:numPr>
              <w:spacing w:line="268" w:lineRule="auto"/>
            </w:pPr>
            <w:r>
              <w:t>Let the history guide which special tests you choose.</w:t>
            </w:r>
          </w:p>
        </w:tc>
      </w:tr>
    </w:tbl>
    <w:p w14:paraId="4E6E51AA" w14:textId="77777777" w:rsidR="007D2028" w:rsidRDefault="007D2028">
      <w:pPr>
        <w:spacing w:after="1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0"/>
        <w:gridCol w:w="8266"/>
      </w:tblGrid>
      <w:tr w:rsidR="007D2028" w14:paraId="669DEA46" w14:textId="77777777">
        <w:tblPrEx>
          <w:tblCellMar>
            <w:top w:w="0" w:type="dxa"/>
            <w:bottom w:w="0" w:type="dxa"/>
          </w:tblCellMar>
        </w:tblPrEx>
        <w:tc>
          <w:tcPr>
            <w:tcW w:w="760" w:type="dxa"/>
            <w:shd w:val="clear" w:color="auto" w:fill="B07410"/>
            <w:tcMar>
              <w:top w:w="90" w:type="dxa"/>
              <w:left w:w="160" w:type="dxa"/>
              <w:bottom w:w="90" w:type="dxa"/>
              <w:right w:w="160" w:type="dxa"/>
            </w:tcMar>
            <w:vAlign w:val="center"/>
          </w:tcPr>
          <w:p w14:paraId="793FB2F6" w14:textId="77777777" w:rsidR="007D2028" w:rsidRDefault="00000000">
            <w:pPr>
              <w:jc w:val="center"/>
            </w:pPr>
            <w:r>
              <w:rPr>
                <w:b/>
                <w:bCs/>
                <w:color w:val="FFFFFF"/>
                <w:sz w:val="30"/>
                <w:szCs w:val="30"/>
              </w:rPr>
              <w:t>01</w:t>
            </w:r>
          </w:p>
        </w:tc>
        <w:tc>
          <w:tcPr>
            <w:tcW w:w="8266" w:type="dxa"/>
            <w:shd w:val="clear" w:color="auto" w:fill="0E5C5B"/>
            <w:tcMar>
              <w:top w:w="90" w:type="dxa"/>
              <w:left w:w="160" w:type="dxa"/>
              <w:bottom w:w="90" w:type="dxa"/>
              <w:right w:w="160" w:type="dxa"/>
            </w:tcMar>
            <w:vAlign w:val="center"/>
          </w:tcPr>
          <w:p w14:paraId="1BC16DCC" w14:textId="77777777" w:rsidR="007D2028" w:rsidRDefault="00000000">
            <w:r>
              <w:rPr>
                <w:b/>
                <w:bCs/>
                <w:color w:val="FFFFFF"/>
                <w:spacing w:val="20"/>
                <w:sz w:val="26"/>
                <w:szCs w:val="26"/>
              </w:rPr>
              <w:t>The Knee</w:t>
            </w:r>
          </w:p>
        </w:tc>
      </w:tr>
    </w:tbl>
    <w:p w14:paraId="53315DFD" w14:textId="77777777" w:rsidR="007D2028" w:rsidRDefault="007D2028">
      <w:pPr>
        <w:spacing w:after="120"/>
      </w:pPr>
    </w:p>
    <w:p w14:paraId="27EF9598" w14:textId="77777777" w:rsidR="007D2028" w:rsidRDefault="00000000">
      <w:pPr>
        <w:spacing w:after="120" w:line="276" w:lineRule="auto"/>
      </w:pPr>
      <w:r>
        <w:t>A knee that gives way usually points to a mechanical problem. The meniscus, the patella and the cruciate ligaments are the usual suspects. A few targeted tests help you tell them apart.</w:t>
      </w:r>
    </w:p>
    <w:p w14:paraId="2D4AA42A" w14:textId="77777777" w:rsidR="007D2028" w:rsidRDefault="00000000">
      <w:pPr>
        <w:pBdr>
          <w:bottom w:val="single" w:sz="6" w:space="4" w:color="137E78"/>
        </w:pBdr>
        <w:spacing w:before="200" w:after="90"/>
      </w:pPr>
      <w:r>
        <w:rPr>
          <w:b/>
          <w:bCs/>
          <w:color w:val="0E5C5B"/>
          <w:sz w:val="25"/>
          <w:szCs w:val="25"/>
        </w:rPr>
        <w:t>Thessaly test — for a meniscal tear</w:t>
      </w:r>
    </w:p>
    <w:p w14:paraId="23889EB9" w14:textId="77777777" w:rsidR="007D2028" w:rsidRDefault="00000000">
      <w:pPr>
        <w:spacing w:after="120" w:line="276" w:lineRule="auto"/>
      </w:pPr>
      <w:r>
        <w:rPr>
          <w:i/>
          <w:iCs/>
          <w:color w:val="5C6E6D"/>
        </w:rPr>
        <w:t>This test loads the knee under rotation to reproduce the patient’s symptoms.</w:t>
      </w:r>
    </w:p>
    <w:p w14:paraId="4B3DF347" w14:textId="77777777" w:rsidR="007D2028" w:rsidRDefault="00000000">
      <w:pPr>
        <w:pStyle w:val="ListParagraph"/>
        <w:numPr>
          <w:ilvl w:val="0"/>
          <w:numId w:val="3"/>
        </w:numPr>
        <w:spacing w:after="70" w:line="270" w:lineRule="auto"/>
      </w:pPr>
      <w:r>
        <w:t>The patient stands on the affected leg and holds your hands for balance.</w:t>
      </w:r>
    </w:p>
    <w:p w14:paraId="22AABCFE" w14:textId="77777777" w:rsidR="007D2028" w:rsidRDefault="00000000">
      <w:pPr>
        <w:pStyle w:val="ListParagraph"/>
        <w:numPr>
          <w:ilvl w:val="0"/>
          <w:numId w:val="3"/>
        </w:numPr>
        <w:spacing w:after="70" w:line="270" w:lineRule="auto"/>
      </w:pPr>
      <w:r>
        <w:t>Ask them to bend the knee slightly (about 5°) and rotate the body and knee inward and outward three times.</w:t>
      </w:r>
    </w:p>
    <w:p w14:paraId="0B2119B8" w14:textId="77777777" w:rsidR="007D2028" w:rsidRDefault="00000000">
      <w:pPr>
        <w:pStyle w:val="ListParagraph"/>
        <w:numPr>
          <w:ilvl w:val="0"/>
          <w:numId w:val="3"/>
        </w:numPr>
        <w:spacing w:after="70" w:line="270" w:lineRule="auto"/>
      </w:pPr>
      <w:r>
        <w:t>Repeat with the knee bent to about 20°.</w:t>
      </w:r>
    </w:p>
    <w:p w14:paraId="0FE4593A" w14:textId="77777777" w:rsidR="007D2028" w:rsidRDefault="00000000">
      <w:pPr>
        <w:pStyle w:val="ListParagraph"/>
        <w:numPr>
          <w:ilvl w:val="0"/>
          <w:numId w:val="3"/>
        </w:numPr>
        <w:spacing w:after="70" w:line="270" w:lineRule="auto"/>
      </w:pPr>
      <w:r>
        <w:t>The test is positive if it reproduces joint-line pain, or a sense of locking or catching.</w:t>
      </w:r>
    </w:p>
    <w:p w14:paraId="463FAE15" w14:textId="77777777" w:rsidR="007D2028" w:rsidRDefault="007D2028">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3F61668A" w14:textId="77777777">
        <w:tblPrEx>
          <w:tblCellMar>
            <w:top w:w="0" w:type="dxa"/>
            <w:bottom w:w="0" w:type="dxa"/>
          </w:tblCellMar>
        </w:tblPrEx>
        <w:tc>
          <w:tcPr>
            <w:tcW w:w="9026" w:type="dxa"/>
            <w:tcBorders>
              <w:left w:val="single" w:sz="30" w:space="0" w:color="B07410"/>
            </w:tcBorders>
            <w:shd w:val="clear" w:color="auto" w:fill="FBF0D9"/>
            <w:tcMar>
              <w:top w:w="150" w:type="dxa"/>
              <w:left w:w="220" w:type="dxa"/>
              <w:bottom w:w="130" w:type="dxa"/>
              <w:right w:w="220" w:type="dxa"/>
            </w:tcMar>
          </w:tcPr>
          <w:p w14:paraId="14063552" w14:textId="77777777" w:rsidR="007D2028" w:rsidRDefault="00000000">
            <w:pPr>
              <w:spacing w:after="70"/>
            </w:pPr>
            <w:r>
              <w:rPr>
                <w:b/>
                <w:bCs/>
                <w:color w:val="B07410"/>
                <w:spacing w:val="50"/>
                <w:sz w:val="16"/>
                <w:szCs w:val="16"/>
              </w:rPr>
              <w:t>INTERPRET WITH CARE</w:t>
            </w:r>
          </w:p>
          <w:p w14:paraId="4D384E86" w14:textId="77777777" w:rsidR="007D2028" w:rsidRDefault="00000000">
            <w:pPr>
              <w:spacing w:after="60" w:line="270" w:lineRule="auto"/>
            </w:pPr>
            <w:r>
              <w:t>The Thessaly test was first reported as highly accurate against MRI and arthroscopy. Later studies have been mixed, and it is not reliable enough to replace MRI or sound clinical judgement.</w:t>
            </w:r>
          </w:p>
          <w:p w14:paraId="04294C51" w14:textId="77777777" w:rsidR="007D2028" w:rsidRDefault="00000000">
            <w:pPr>
              <w:spacing w:line="270" w:lineRule="auto"/>
            </w:pPr>
            <w:r>
              <w:t xml:space="preserve">Treat a positive test as </w:t>
            </w:r>
            <w:r>
              <w:rPr>
                <w:b/>
                <w:bCs/>
              </w:rPr>
              <w:t>supportive, not diagnostic</w:t>
            </w:r>
            <w:r>
              <w:t>. Always combine it with the history and your other findings.</w:t>
            </w:r>
          </w:p>
        </w:tc>
      </w:tr>
    </w:tbl>
    <w:p w14:paraId="16A78EEE" w14:textId="77777777" w:rsidR="007D2028" w:rsidRDefault="007D2028">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7B561751" w14:textId="77777777">
        <w:tblPrEx>
          <w:tblCellMar>
            <w:top w:w="0" w:type="dxa"/>
            <w:bottom w:w="0" w:type="dxa"/>
          </w:tblCellMar>
        </w:tblPrEx>
        <w:tc>
          <w:tcPr>
            <w:tcW w:w="9026" w:type="dxa"/>
            <w:tcBorders>
              <w:left w:val="single" w:sz="30" w:space="0" w:color="137E78"/>
            </w:tcBorders>
            <w:shd w:val="clear" w:color="auto" w:fill="E4F1F0"/>
            <w:tcMar>
              <w:top w:w="150" w:type="dxa"/>
              <w:left w:w="220" w:type="dxa"/>
              <w:bottom w:w="130" w:type="dxa"/>
              <w:right w:w="220" w:type="dxa"/>
            </w:tcMar>
          </w:tcPr>
          <w:p w14:paraId="35230F49" w14:textId="77777777" w:rsidR="007D2028" w:rsidRDefault="00000000">
            <w:pPr>
              <w:spacing w:after="70"/>
            </w:pPr>
            <w:r>
              <w:rPr>
                <w:b/>
                <w:bCs/>
                <w:color w:val="137E78"/>
                <w:spacing w:val="50"/>
                <w:sz w:val="16"/>
                <w:szCs w:val="16"/>
              </w:rPr>
              <w:lastRenderedPageBreak/>
              <w:t>OTHER CLUES TO A MENISCAL TEAR</w:t>
            </w:r>
          </w:p>
          <w:p w14:paraId="1D0E40A8" w14:textId="77777777" w:rsidR="007D2028" w:rsidRDefault="00000000">
            <w:pPr>
              <w:pStyle w:val="ListParagraph"/>
              <w:numPr>
                <w:ilvl w:val="0"/>
                <w:numId w:val="2"/>
              </w:numPr>
              <w:spacing w:after="50" w:line="268" w:lineRule="auto"/>
            </w:pPr>
            <w:r>
              <w:t>Reduced extension on standing — the knee will not fully “lock out.”</w:t>
            </w:r>
          </w:p>
          <w:p w14:paraId="46D33E67" w14:textId="77777777" w:rsidR="007D2028" w:rsidRDefault="00000000">
            <w:pPr>
              <w:pStyle w:val="ListParagraph"/>
              <w:numPr>
                <w:ilvl w:val="0"/>
                <w:numId w:val="2"/>
              </w:numPr>
              <w:spacing w:after="50" w:line="268" w:lineRule="auto"/>
            </w:pPr>
            <w:r>
              <w:t>A small effusion is often present.</w:t>
            </w:r>
          </w:p>
          <w:p w14:paraId="310DD94C" w14:textId="77777777" w:rsidR="007D2028" w:rsidRDefault="00000000">
            <w:pPr>
              <w:pStyle w:val="ListParagraph"/>
              <w:numPr>
                <w:ilvl w:val="0"/>
                <w:numId w:val="2"/>
              </w:numPr>
              <w:spacing w:line="268" w:lineRule="auto"/>
            </w:pPr>
            <w:r>
              <w:t>Squatting all the way down is difficult.</w:t>
            </w:r>
          </w:p>
        </w:tc>
      </w:tr>
    </w:tbl>
    <w:p w14:paraId="30C96F0B" w14:textId="77777777" w:rsidR="007D2028" w:rsidRDefault="007D2028">
      <w:pPr>
        <w:spacing w:after="140"/>
      </w:pPr>
    </w:p>
    <w:p w14:paraId="3AB5D323" w14:textId="77777777" w:rsidR="007D2028" w:rsidRDefault="00000000">
      <w:pPr>
        <w:pBdr>
          <w:bottom w:val="single" w:sz="6" w:space="4" w:color="137E78"/>
        </w:pBdr>
        <w:spacing w:before="200" w:after="90"/>
      </w:pPr>
      <w:r>
        <w:rPr>
          <w:b/>
          <w:bCs/>
          <w:color w:val="0E5C5B"/>
          <w:sz w:val="25"/>
          <w:szCs w:val="25"/>
        </w:rPr>
        <w:t>Anterior drawer test — for ACL laxity</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6404CAAA" w14:textId="77777777">
        <w:tblPrEx>
          <w:tblCellMar>
            <w:top w:w="0" w:type="dxa"/>
            <w:bottom w:w="0" w:type="dxa"/>
          </w:tblCellMar>
        </w:tblPrEx>
        <w:tc>
          <w:tcPr>
            <w:tcW w:w="9026" w:type="dxa"/>
            <w:tcBorders>
              <w:left w:val="single" w:sz="30" w:space="0" w:color="B07410"/>
            </w:tcBorders>
            <w:shd w:val="clear" w:color="auto" w:fill="FBF0D9"/>
            <w:tcMar>
              <w:top w:w="150" w:type="dxa"/>
              <w:left w:w="220" w:type="dxa"/>
              <w:bottom w:w="130" w:type="dxa"/>
              <w:right w:w="220" w:type="dxa"/>
            </w:tcMar>
          </w:tcPr>
          <w:p w14:paraId="6C71ACE5" w14:textId="77777777" w:rsidR="007D2028" w:rsidRDefault="00000000">
            <w:pPr>
              <w:spacing w:after="70"/>
            </w:pPr>
            <w:r>
              <w:rPr>
                <w:b/>
                <w:bCs/>
                <w:color w:val="B07410"/>
                <w:spacing w:val="50"/>
                <w:sz w:val="16"/>
                <w:szCs w:val="16"/>
              </w:rPr>
              <w:t>TOP TIP</w:t>
            </w:r>
          </w:p>
          <w:p w14:paraId="6002BC75" w14:textId="77777777" w:rsidR="007D2028" w:rsidRDefault="00000000">
            <w:pPr>
              <w:spacing w:line="270" w:lineRule="auto"/>
            </w:pPr>
            <w:r>
              <w:t xml:space="preserve">Relax the hamstrings first. If they are guarding, they resist forward movement of the tibia and you may get a </w:t>
            </w:r>
            <w:r>
              <w:rPr>
                <w:b/>
                <w:bCs/>
              </w:rPr>
              <w:t>false-negative</w:t>
            </w:r>
            <w:r>
              <w:t xml:space="preserve"> result. With the knee flexed and the foot stabilised, draw the tibia forward and feel for excess movement.</w:t>
            </w:r>
          </w:p>
        </w:tc>
      </w:tr>
    </w:tbl>
    <w:p w14:paraId="26DFC6C2" w14:textId="77777777" w:rsidR="007D2028" w:rsidRDefault="007D2028">
      <w:pPr>
        <w:spacing w:after="140"/>
      </w:pPr>
    </w:p>
    <w:p w14:paraId="71D8C2A3" w14:textId="77777777" w:rsidR="007D2028" w:rsidRDefault="00000000">
      <w:pPr>
        <w:pBdr>
          <w:bottom w:val="single" w:sz="6" w:space="4" w:color="137E78"/>
        </w:pBdr>
        <w:spacing w:before="200" w:after="90"/>
      </w:pPr>
      <w:r>
        <w:rPr>
          <w:b/>
          <w:bCs/>
          <w:color w:val="0E5C5B"/>
          <w:sz w:val="25"/>
          <w:szCs w:val="25"/>
        </w:rPr>
        <w:t>The patella</w:t>
      </w:r>
    </w:p>
    <w:p w14:paraId="23AFCFF7" w14:textId="77777777" w:rsidR="007D2028" w:rsidRDefault="00000000">
      <w:pPr>
        <w:spacing w:after="120" w:line="276" w:lineRule="auto"/>
      </w:pPr>
      <w:r>
        <w:t>Palpate around the whole patella. To reach the inferior border, press down on the upper pole — this tips the lower border forwards so you can feel it.</w:t>
      </w:r>
    </w:p>
    <w:p w14:paraId="2ACA0E2C" w14:textId="77777777" w:rsidR="007D2028" w:rsidRDefault="00000000">
      <w:pPr>
        <w:spacing w:after="120" w:line="276" w:lineRule="auto"/>
      </w:pPr>
      <w:r>
        <w:t>Localised tenderness may suggest a patellar tracking problem. Always check the iliotibial band (ITB) and lateral retinaculum, as both are often tight when the patella tracks poorly.</w:t>
      </w:r>
    </w:p>
    <w:p w14:paraId="248E86DA" w14:textId="77777777" w:rsidR="007D2028" w:rsidRDefault="007D2028">
      <w:pPr>
        <w:spacing w:after="120"/>
      </w:pPr>
    </w:p>
    <w:p w14:paraId="0AD81D02" w14:textId="77777777" w:rsidR="007D2028" w:rsidRDefault="00000000">
      <w:pPr>
        <w:pBdr>
          <w:bottom w:val="single" w:sz="6" w:space="4" w:color="137E78"/>
        </w:pBdr>
        <w:spacing w:before="200" w:after="90"/>
      </w:pPr>
      <w:r>
        <w:rPr>
          <w:b/>
          <w:bCs/>
          <w:color w:val="0E5C5B"/>
          <w:sz w:val="25"/>
          <w:szCs w:val="25"/>
        </w:rPr>
        <w:t>Squat and “duck walk” — a quick screen</w:t>
      </w:r>
    </w:p>
    <w:p w14:paraId="1FDD97F7" w14:textId="77777777" w:rsidR="007D2028" w:rsidRDefault="00000000">
      <w:pPr>
        <w:spacing w:after="120" w:line="276" w:lineRule="auto"/>
      </w:pPr>
      <w:r>
        <w:t>Ask the patient to squat fully and then “duck walk.” What they can and cannot do is revealing:</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7D2028" w14:paraId="18474190" w14:textId="77777777">
        <w:tblPrEx>
          <w:tblCellMar>
            <w:top w:w="0" w:type="dxa"/>
            <w:bottom w:w="0" w:type="dxa"/>
          </w:tblCellMar>
        </w:tblPrEx>
        <w:trPr>
          <w:tblHeader/>
        </w:trPr>
        <w:tc>
          <w:tcPr>
            <w:tcW w:w="4513" w:type="dxa"/>
            <w:tcBorders>
              <w:top w:val="single" w:sz="2" w:space="0" w:color="D5E0DF"/>
              <w:bottom w:val="single" w:sz="2" w:space="0" w:color="D5E0DF"/>
            </w:tcBorders>
            <w:shd w:val="clear" w:color="auto" w:fill="0E5C5B"/>
            <w:tcMar>
              <w:top w:w="90" w:type="dxa"/>
              <w:left w:w="140" w:type="dxa"/>
              <w:bottom w:w="90" w:type="dxa"/>
              <w:right w:w="140" w:type="dxa"/>
            </w:tcMar>
            <w:vAlign w:val="center"/>
          </w:tcPr>
          <w:p w14:paraId="131BA817" w14:textId="77777777" w:rsidR="007D2028" w:rsidRDefault="00000000">
            <w:r>
              <w:rPr>
                <w:b/>
                <w:bCs/>
                <w:color w:val="FFFFFF"/>
                <w:sz w:val="21"/>
                <w:szCs w:val="21"/>
              </w:rPr>
              <w:t>If the patient…</w:t>
            </w:r>
          </w:p>
        </w:tc>
        <w:tc>
          <w:tcPr>
            <w:tcW w:w="4513" w:type="dxa"/>
            <w:tcBorders>
              <w:top w:val="single" w:sz="2" w:space="0" w:color="D5E0DF"/>
              <w:bottom w:val="single" w:sz="2" w:space="0" w:color="D5E0DF"/>
            </w:tcBorders>
            <w:shd w:val="clear" w:color="auto" w:fill="0E5C5B"/>
            <w:tcMar>
              <w:top w:w="90" w:type="dxa"/>
              <w:left w:w="140" w:type="dxa"/>
              <w:bottom w:w="90" w:type="dxa"/>
              <w:right w:w="140" w:type="dxa"/>
            </w:tcMar>
            <w:vAlign w:val="center"/>
          </w:tcPr>
          <w:p w14:paraId="270C272A" w14:textId="77777777" w:rsidR="007D2028" w:rsidRDefault="00000000">
            <w:r>
              <w:rPr>
                <w:b/>
                <w:bCs/>
                <w:color w:val="FFFFFF"/>
                <w:sz w:val="21"/>
                <w:szCs w:val="21"/>
              </w:rPr>
              <w:t>This suggests…</w:t>
            </w:r>
          </w:p>
        </w:tc>
      </w:tr>
      <w:tr w:rsidR="007D2028" w14:paraId="36EB8CC1" w14:textId="77777777">
        <w:tblPrEx>
          <w:tblCellMar>
            <w:top w:w="0" w:type="dxa"/>
            <w:bottom w:w="0" w:type="dxa"/>
          </w:tblCellMar>
        </w:tblPrEx>
        <w:tc>
          <w:tcPr>
            <w:tcW w:w="451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00AAF9D9" w14:textId="77777777" w:rsidR="007D2028" w:rsidRDefault="00000000">
            <w:r>
              <w:rPr>
                <w:b/>
                <w:bCs/>
                <w:sz w:val="21"/>
                <w:szCs w:val="21"/>
              </w:rPr>
              <w:t>Can squat fully and duck walk</w:t>
            </w:r>
          </w:p>
        </w:tc>
        <w:tc>
          <w:tcPr>
            <w:tcW w:w="451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3A3FA6B7" w14:textId="77777777" w:rsidR="007D2028" w:rsidRDefault="00000000">
            <w:r>
              <w:rPr>
                <w:sz w:val="21"/>
                <w:szCs w:val="21"/>
              </w:rPr>
              <w:t>Serious knee pathology is unlikely</w:t>
            </w:r>
          </w:p>
        </w:tc>
      </w:tr>
      <w:tr w:rsidR="007D2028" w14:paraId="2736D5FF" w14:textId="77777777">
        <w:tblPrEx>
          <w:tblCellMar>
            <w:top w:w="0" w:type="dxa"/>
            <w:bottom w:w="0" w:type="dxa"/>
          </w:tblCellMar>
        </w:tblPrEx>
        <w:tc>
          <w:tcPr>
            <w:tcW w:w="4513" w:type="dxa"/>
            <w:tcBorders>
              <w:top w:val="single" w:sz="2" w:space="0" w:color="D5E0DF"/>
              <w:bottom w:val="single" w:sz="2" w:space="0" w:color="D5E0DF"/>
            </w:tcBorders>
            <w:shd w:val="clear" w:color="auto" w:fill="FFFFFF"/>
            <w:tcMar>
              <w:top w:w="90" w:type="dxa"/>
              <w:left w:w="140" w:type="dxa"/>
              <w:bottom w:w="90" w:type="dxa"/>
              <w:right w:w="140" w:type="dxa"/>
            </w:tcMar>
            <w:vAlign w:val="center"/>
          </w:tcPr>
          <w:p w14:paraId="058397FE" w14:textId="77777777" w:rsidR="007D2028" w:rsidRDefault="00000000">
            <w:r>
              <w:rPr>
                <w:b/>
                <w:bCs/>
                <w:sz w:val="21"/>
                <w:szCs w:val="21"/>
              </w:rPr>
              <w:t>Struggles to bend down into the squat</w:t>
            </w:r>
          </w:p>
        </w:tc>
        <w:tc>
          <w:tcPr>
            <w:tcW w:w="4513" w:type="dxa"/>
            <w:tcBorders>
              <w:top w:val="single" w:sz="2" w:space="0" w:color="D5E0DF"/>
              <w:bottom w:val="single" w:sz="2" w:space="0" w:color="D5E0DF"/>
            </w:tcBorders>
            <w:shd w:val="clear" w:color="auto" w:fill="FFFFFF"/>
            <w:tcMar>
              <w:top w:w="90" w:type="dxa"/>
              <w:left w:w="140" w:type="dxa"/>
              <w:bottom w:w="90" w:type="dxa"/>
              <w:right w:w="140" w:type="dxa"/>
            </w:tcMar>
            <w:vAlign w:val="center"/>
          </w:tcPr>
          <w:p w14:paraId="246A9084" w14:textId="77777777" w:rsidR="007D2028" w:rsidRDefault="00000000">
            <w:r>
              <w:rPr>
                <w:sz w:val="21"/>
                <w:szCs w:val="21"/>
              </w:rPr>
              <w:t>A meniscal problem</w:t>
            </w:r>
          </w:p>
        </w:tc>
      </w:tr>
      <w:tr w:rsidR="007D2028" w14:paraId="0DDF517E" w14:textId="77777777">
        <w:tblPrEx>
          <w:tblCellMar>
            <w:top w:w="0" w:type="dxa"/>
            <w:bottom w:w="0" w:type="dxa"/>
          </w:tblCellMar>
        </w:tblPrEx>
        <w:tc>
          <w:tcPr>
            <w:tcW w:w="451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7DBC5A65" w14:textId="77777777" w:rsidR="007D2028" w:rsidRDefault="00000000">
            <w:r>
              <w:rPr>
                <w:b/>
                <w:bCs/>
                <w:sz w:val="21"/>
                <w:szCs w:val="21"/>
              </w:rPr>
              <w:t>Struggles to push back up to standing</w:t>
            </w:r>
          </w:p>
        </w:tc>
        <w:tc>
          <w:tcPr>
            <w:tcW w:w="451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3DE4CED3" w14:textId="77777777" w:rsidR="007D2028" w:rsidRDefault="00000000">
            <w:r>
              <w:rPr>
                <w:sz w:val="21"/>
                <w:szCs w:val="21"/>
              </w:rPr>
              <w:t>A patellar problem</w:t>
            </w:r>
          </w:p>
        </w:tc>
      </w:tr>
    </w:tbl>
    <w:p w14:paraId="4B460446" w14:textId="77777777" w:rsidR="007D2028" w:rsidRDefault="007D2028">
      <w:pPr>
        <w:spacing w:after="1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0"/>
        <w:gridCol w:w="8266"/>
      </w:tblGrid>
      <w:tr w:rsidR="007D2028" w14:paraId="3419BC53" w14:textId="77777777">
        <w:tblPrEx>
          <w:tblCellMar>
            <w:top w:w="0" w:type="dxa"/>
            <w:bottom w:w="0" w:type="dxa"/>
          </w:tblCellMar>
        </w:tblPrEx>
        <w:tc>
          <w:tcPr>
            <w:tcW w:w="760" w:type="dxa"/>
            <w:shd w:val="clear" w:color="auto" w:fill="B07410"/>
            <w:tcMar>
              <w:top w:w="90" w:type="dxa"/>
              <w:left w:w="160" w:type="dxa"/>
              <w:bottom w:w="90" w:type="dxa"/>
              <w:right w:w="160" w:type="dxa"/>
            </w:tcMar>
            <w:vAlign w:val="center"/>
          </w:tcPr>
          <w:p w14:paraId="581EBF6E" w14:textId="77777777" w:rsidR="007D2028" w:rsidRDefault="00000000">
            <w:pPr>
              <w:jc w:val="center"/>
            </w:pPr>
            <w:r>
              <w:rPr>
                <w:b/>
                <w:bCs/>
                <w:color w:val="FFFFFF"/>
                <w:sz w:val="30"/>
                <w:szCs w:val="30"/>
              </w:rPr>
              <w:t>02</w:t>
            </w:r>
          </w:p>
        </w:tc>
        <w:tc>
          <w:tcPr>
            <w:tcW w:w="8266" w:type="dxa"/>
            <w:shd w:val="clear" w:color="auto" w:fill="0E5C5B"/>
            <w:tcMar>
              <w:top w:w="90" w:type="dxa"/>
              <w:left w:w="160" w:type="dxa"/>
              <w:bottom w:w="90" w:type="dxa"/>
              <w:right w:w="160" w:type="dxa"/>
            </w:tcMar>
            <w:vAlign w:val="center"/>
          </w:tcPr>
          <w:p w14:paraId="2EA2BC2C" w14:textId="77777777" w:rsidR="007D2028" w:rsidRDefault="00000000">
            <w:r>
              <w:rPr>
                <w:b/>
                <w:bCs/>
                <w:color w:val="FFFFFF"/>
                <w:spacing w:val="20"/>
                <w:sz w:val="26"/>
                <w:szCs w:val="26"/>
              </w:rPr>
              <w:t>The Shoulder</w:t>
            </w:r>
          </w:p>
        </w:tc>
      </w:tr>
    </w:tbl>
    <w:p w14:paraId="5A5A9BE9" w14:textId="77777777" w:rsidR="007D2028" w:rsidRDefault="007D2028">
      <w:pPr>
        <w:spacing w:after="120"/>
      </w:pPr>
    </w:p>
    <w:p w14:paraId="611C18BA" w14:textId="77777777" w:rsidR="007D2028" w:rsidRDefault="00000000">
      <w:pPr>
        <w:spacing w:after="120" w:line="276" w:lineRule="auto"/>
      </w:pPr>
      <w:r>
        <w:t>Follow a set routine and keep the idea of capsular and non-capsular patterns in mind. A capsular pattern (a typical mix of restricted movements) points to a problem within the joint itself, such as a frozen shoulder. A non-capsular pattern points elsewhere — for example, the rotator cuff.</w:t>
      </w:r>
    </w:p>
    <w:p w14:paraId="0DED84AB" w14:textId="77777777" w:rsidR="007D2028" w:rsidRDefault="007D2028">
      <w:pPr>
        <w:spacing w:after="60"/>
      </w:pPr>
    </w:p>
    <w:p w14:paraId="6C075994" w14:textId="77777777" w:rsidR="007D2028" w:rsidRDefault="00000000">
      <w:pPr>
        <w:pBdr>
          <w:bottom w:val="single" w:sz="6" w:space="4" w:color="137E78"/>
        </w:pBdr>
        <w:spacing w:before="200" w:after="90"/>
      </w:pPr>
      <w:r>
        <w:rPr>
          <w:b/>
          <w:bCs/>
          <w:color w:val="0E5C5B"/>
          <w:sz w:val="25"/>
          <w:szCs w:val="25"/>
        </w:rPr>
        <w:t>Reading the resisted movements</w:t>
      </w:r>
    </w:p>
    <w:p w14:paraId="71046B37" w14:textId="77777777" w:rsidR="007D2028" w:rsidRDefault="00000000">
      <w:pPr>
        <w:spacing w:after="120" w:line="276" w:lineRule="auto"/>
      </w:pPr>
      <w:r>
        <w:t>Resisted tests isolate specific rotator cuff muscles. Pain on a test points to the muscle being loaded: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700"/>
        <w:gridCol w:w="3163"/>
        <w:gridCol w:w="3163"/>
      </w:tblGrid>
      <w:tr w:rsidR="007D2028" w14:paraId="10695D7F" w14:textId="77777777">
        <w:tblPrEx>
          <w:tblCellMar>
            <w:top w:w="0" w:type="dxa"/>
            <w:bottom w:w="0" w:type="dxa"/>
          </w:tblCellMar>
        </w:tblPrEx>
        <w:trPr>
          <w:tblHeader/>
        </w:trPr>
        <w:tc>
          <w:tcPr>
            <w:tcW w:w="2700" w:type="dxa"/>
            <w:tcBorders>
              <w:top w:val="single" w:sz="2" w:space="0" w:color="D5E0DF"/>
              <w:bottom w:val="single" w:sz="2" w:space="0" w:color="D5E0DF"/>
            </w:tcBorders>
            <w:shd w:val="clear" w:color="auto" w:fill="0E5C5B"/>
            <w:tcMar>
              <w:top w:w="90" w:type="dxa"/>
              <w:left w:w="140" w:type="dxa"/>
              <w:bottom w:w="90" w:type="dxa"/>
              <w:right w:w="140" w:type="dxa"/>
            </w:tcMar>
            <w:vAlign w:val="center"/>
          </w:tcPr>
          <w:p w14:paraId="5191FEE9" w14:textId="77777777" w:rsidR="007D2028" w:rsidRDefault="00000000">
            <w:r>
              <w:rPr>
                <w:b/>
                <w:bCs/>
                <w:color w:val="FFFFFF"/>
                <w:sz w:val="21"/>
                <w:szCs w:val="21"/>
              </w:rPr>
              <w:lastRenderedPageBreak/>
              <w:t>Resisted movement</w:t>
            </w:r>
          </w:p>
        </w:tc>
        <w:tc>
          <w:tcPr>
            <w:tcW w:w="3163" w:type="dxa"/>
            <w:tcBorders>
              <w:top w:val="single" w:sz="2" w:space="0" w:color="D5E0DF"/>
              <w:bottom w:val="single" w:sz="2" w:space="0" w:color="D5E0DF"/>
            </w:tcBorders>
            <w:shd w:val="clear" w:color="auto" w:fill="0E5C5B"/>
            <w:tcMar>
              <w:top w:w="90" w:type="dxa"/>
              <w:left w:w="140" w:type="dxa"/>
              <w:bottom w:w="90" w:type="dxa"/>
              <w:right w:w="140" w:type="dxa"/>
            </w:tcMar>
            <w:vAlign w:val="center"/>
          </w:tcPr>
          <w:p w14:paraId="68ED1A11" w14:textId="77777777" w:rsidR="007D2028" w:rsidRDefault="00000000">
            <w:r>
              <w:rPr>
                <w:b/>
                <w:bCs/>
                <w:color w:val="FFFFFF"/>
                <w:sz w:val="21"/>
                <w:szCs w:val="21"/>
              </w:rPr>
              <w:t>Muscle loaded</w:t>
            </w:r>
          </w:p>
        </w:tc>
        <w:tc>
          <w:tcPr>
            <w:tcW w:w="3163" w:type="dxa"/>
            <w:tcBorders>
              <w:top w:val="single" w:sz="2" w:space="0" w:color="D5E0DF"/>
              <w:bottom w:val="single" w:sz="2" w:space="0" w:color="D5E0DF"/>
            </w:tcBorders>
            <w:shd w:val="clear" w:color="auto" w:fill="0E5C5B"/>
            <w:tcMar>
              <w:top w:w="90" w:type="dxa"/>
              <w:left w:w="140" w:type="dxa"/>
              <w:bottom w:w="90" w:type="dxa"/>
              <w:right w:w="140" w:type="dxa"/>
            </w:tcMar>
            <w:vAlign w:val="center"/>
          </w:tcPr>
          <w:p w14:paraId="6B0DEDD1" w14:textId="77777777" w:rsidR="007D2028" w:rsidRDefault="00000000">
            <w:r>
              <w:rPr>
                <w:b/>
                <w:bCs/>
                <w:color w:val="FFFFFF"/>
                <w:sz w:val="21"/>
                <w:szCs w:val="21"/>
              </w:rPr>
              <w:t>If painful</w:t>
            </w:r>
          </w:p>
        </w:tc>
      </w:tr>
      <w:tr w:rsidR="007D2028" w14:paraId="4A123EAF" w14:textId="77777777">
        <w:tblPrEx>
          <w:tblCellMar>
            <w:top w:w="0" w:type="dxa"/>
            <w:bottom w:w="0" w:type="dxa"/>
          </w:tblCellMar>
        </w:tblPrEx>
        <w:tc>
          <w:tcPr>
            <w:tcW w:w="2700"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35347A46" w14:textId="77777777" w:rsidR="007D2028" w:rsidRDefault="00000000">
            <w:r>
              <w:rPr>
                <w:b/>
                <w:bCs/>
                <w:sz w:val="21"/>
                <w:szCs w:val="21"/>
              </w:rPr>
              <w:t>External rotation</w:t>
            </w:r>
          </w:p>
        </w:tc>
        <w:tc>
          <w:tcPr>
            <w:tcW w:w="316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39439E8E" w14:textId="77777777" w:rsidR="007D2028" w:rsidRDefault="00000000">
            <w:r>
              <w:rPr>
                <w:sz w:val="21"/>
                <w:szCs w:val="21"/>
              </w:rPr>
              <w:t>Infraspinatus / teres minor</w:t>
            </w:r>
          </w:p>
        </w:tc>
        <w:tc>
          <w:tcPr>
            <w:tcW w:w="3163" w:type="dxa"/>
            <w:tcBorders>
              <w:top w:val="single" w:sz="2" w:space="0" w:color="D5E0DF"/>
              <w:bottom w:val="single" w:sz="2" w:space="0" w:color="D5E0DF"/>
            </w:tcBorders>
            <w:shd w:val="clear" w:color="auto" w:fill="EEF4F3"/>
            <w:tcMar>
              <w:top w:w="90" w:type="dxa"/>
              <w:left w:w="140" w:type="dxa"/>
              <w:bottom w:w="90" w:type="dxa"/>
              <w:right w:w="140" w:type="dxa"/>
            </w:tcMar>
            <w:vAlign w:val="center"/>
          </w:tcPr>
          <w:p w14:paraId="7226803B" w14:textId="77777777" w:rsidR="007D2028" w:rsidRDefault="00000000">
            <w:r>
              <w:rPr>
                <w:sz w:val="21"/>
                <w:szCs w:val="21"/>
              </w:rPr>
              <w:t>Suggests an infraspinatus problem</w:t>
            </w:r>
          </w:p>
        </w:tc>
      </w:tr>
      <w:tr w:rsidR="007D2028" w14:paraId="6FD0EA4D" w14:textId="77777777">
        <w:tblPrEx>
          <w:tblCellMar>
            <w:top w:w="0" w:type="dxa"/>
            <w:bottom w:w="0" w:type="dxa"/>
          </w:tblCellMar>
        </w:tblPrEx>
        <w:tc>
          <w:tcPr>
            <w:tcW w:w="2700" w:type="dxa"/>
            <w:tcBorders>
              <w:top w:val="single" w:sz="2" w:space="0" w:color="D5E0DF"/>
              <w:bottom w:val="single" w:sz="2" w:space="0" w:color="D5E0DF"/>
            </w:tcBorders>
            <w:shd w:val="clear" w:color="auto" w:fill="FFFFFF"/>
            <w:tcMar>
              <w:top w:w="90" w:type="dxa"/>
              <w:left w:w="140" w:type="dxa"/>
              <w:bottom w:w="90" w:type="dxa"/>
              <w:right w:w="140" w:type="dxa"/>
            </w:tcMar>
            <w:vAlign w:val="center"/>
          </w:tcPr>
          <w:p w14:paraId="38FBA51A" w14:textId="77777777" w:rsidR="007D2028" w:rsidRDefault="00000000">
            <w:r>
              <w:rPr>
                <w:b/>
                <w:bCs/>
                <w:sz w:val="21"/>
                <w:szCs w:val="21"/>
              </w:rPr>
              <w:t>Internal rotation</w:t>
            </w:r>
          </w:p>
        </w:tc>
        <w:tc>
          <w:tcPr>
            <w:tcW w:w="3163" w:type="dxa"/>
            <w:tcBorders>
              <w:top w:val="single" w:sz="2" w:space="0" w:color="D5E0DF"/>
              <w:bottom w:val="single" w:sz="2" w:space="0" w:color="D5E0DF"/>
            </w:tcBorders>
            <w:shd w:val="clear" w:color="auto" w:fill="FFFFFF"/>
            <w:tcMar>
              <w:top w:w="90" w:type="dxa"/>
              <w:left w:w="140" w:type="dxa"/>
              <w:bottom w:w="90" w:type="dxa"/>
              <w:right w:w="140" w:type="dxa"/>
            </w:tcMar>
            <w:vAlign w:val="center"/>
          </w:tcPr>
          <w:p w14:paraId="28F9B502" w14:textId="77777777" w:rsidR="007D2028" w:rsidRDefault="00000000">
            <w:r>
              <w:rPr>
                <w:sz w:val="21"/>
                <w:szCs w:val="21"/>
              </w:rPr>
              <w:t>Subscapularis</w:t>
            </w:r>
          </w:p>
        </w:tc>
        <w:tc>
          <w:tcPr>
            <w:tcW w:w="3163" w:type="dxa"/>
            <w:tcBorders>
              <w:top w:val="single" w:sz="2" w:space="0" w:color="D5E0DF"/>
              <w:bottom w:val="single" w:sz="2" w:space="0" w:color="D5E0DF"/>
            </w:tcBorders>
            <w:shd w:val="clear" w:color="auto" w:fill="FFFFFF"/>
            <w:tcMar>
              <w:top w:w="90" w:type="dxa"/>
              <w:left w:w="140" w:type="dxa"/>
              <w:bottom w:w="90" w:type="dxa"/>
              <w:right w:w="140" w:type="dxa"/>
            </w:tcMar>
            <w:vAlign w:val="center"/>
          </w:tcPr>
          <w:p w14:paraId="0EA1CA0C" w14:textId="77777777" w:rsidR="007D2028" w:rsidRDefault="00000000">
            <w:r>
              <w:rPr>
                <w:sz w:val="21"/>
                <w:szCs w:val="21"/>
              </w:rPr>
              <w:t>Suggests a subscapularis problem</w:t>
            </w:r>
          </w:p>
        </w:tc>
      </w:tr>
    </w:tbl>
    <w:p w14:paraId="3CB971CD" w14:textId="77777777" w:rsidR="007D2028" w:rsidRDefault="007D2028">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157A08C1" w14:textId="77777777">
        <w:tblPrEx>
          <w:tblCellMar>
            <w:top w:w="0" w:type="dxa"/>
            <w:bottom w:w="0" w:type="dxa"/>
          </w:tblCellMar>
        </w:tblPrEx>
        <w:tc>
          <w:tcPr>
            <w:tcW w:w="9026" w:type="dxa"/>
            <w:tcBorders>
              <w:left w:val="single" w:sz="30" w:space="0" w:color="137E78"/>
            </w:tcBorders>
            <w:shd w:val="clear" w:color="auto" w:fill="E4F1F0"/>
            <w:tcMar>
              <w:top w:w="150" w:type="dxa"/>
              <w:left w:w="220" w:type="dxa"/>
              <w:bottom w:w="130" w:type="dxa"/>
              <w:right w:w="220" w:type="dxa"/>
            </w:tcMar>
          </w:tcPr>
          <w:p w14:paraId="314F999E" w14:textId="77777777" w:rsidR="007D2028" w:rsidRDefault="00000000">
            <w:pPr>
              <w:spacing w:after="70"/>
            </w:pPr>
            <w:r>
              <w:rPr>
                <w:b/>
                <w:bCs/>
                <w:color w:val="137E78"/>
                <w:spacing w:val="50"/>
                <w:sz w:val="16"/>
                <w:szCs w:val="16"/>
              </w:rPr>
              <w:t>CLINICAL PEARL</w:t>
            </w:r>
          </w:p>
          <w:p w14:paraId="55C51B90" w14:textId="77777777" w:rsidR="007D2028" w:rsidRDefault="00000000">
            <w:pPr>
              <w:spacing w:after="60" w:line="270" w:lineRule="auto"/>
            </w:pPr>
            <w:r>
              <w:t>If resisted external rotation is painful, a tight infraspinatus may also limit internal rotation, because the muscle cannot relax fully.</w:t>
            </w:r>
          </w:p>
          <w:p w14:paraId="05BF4300" w14:textId="77777777" w:rsidR="007D2028" w:rsidRDefault="00000000">
            <w:pPr>
              <w:spacing w:line="270" w:lineRule="auto"/>
            </w:pPr>
            <w:r>
              <w:t xml:space="preserve">If resisted internal rotation is </w:t>
            </w:r>
            <w:r>
              <w:rPr>
                <w:b/>
                <w:bCs/>
              </w:rPr>
              <w:t>pain-free</w:t>
            </w:r>
            <w:r>
              <w:t>, the subscapularis is likely intact.</w:t>
            </w:r>
          </w:p>
        </w:tc>
      </w:tr>
    </w:tbl>
    <w:p w14:paraId="05AE9EF8" w14:textId="77777777" w:rsidR="007D2028" w:rsidRDefault="007D2028">
      <w:pPr>
        <w:spacing w:after="1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0"/>
        <w:gridCol w:w="8266"/>
      </w:tblGrid>
      <w:tr w:rsidR="007D2028" w14:paraId="26FA98D0" w14:textId="77777777">
        <w:tblPrEx>
          <w:tblCellMar>
            <w:top w:w="0" w:type="dxa"/>
            <w:bottom w:w="0" w:type="dxa"/>
          </w:tblCellMar>
        </w:tblPrEx>
        <w:tc>
          <w:tcPr>
            <w:tcW w:w="760" w:type="dxa"/>
            <w:shd w:val="clear" w:color="auto" w:fill="B07410"/>
            <w:tcMar>
              <w:top w:w="90" w:type="dxa"/>
              <w:left w:w="160" w:type="dxa"/>
              <w:bottom w:w="90" w:type="dxa"/>
              <w:right w:w="160" w:type="dxa"/>
            </w:tcMar>
            <w:vAlign w:val="center"/>
          </w:tcPr>
          <w:p w14:paraId="1715552E" w14:textId="77777777" w:rsidR="007D2028" w:rsidRDefault="00000000">
            <w:pPr>
              <w:jc w:val="center"/>
            </w:pPr>
            <w:r>
              <w:rPr>
                <w:b/>
                <w:bCs/>
                <w:color w:val="FFFFFF"/>
                <w:sz w:val="30"/>
                <w:szCs w:val="30"/>
              </w:rPr>
              <w:t>03</w:t>
            </w:r>
          </w:p>
        </w:tc>
        <w:tc>
          <w:tcPr>
            <w:tcW w:w="8266" w:type="dxa"/>
            <w:shd w:val="clear" w:color="auto" w:fill="0E5C5B"/>
            <w:tcMar>
              <w:top w:w="90" w:type="dxa"/>
              <w:left w:w="160" w:type="dxa"/>
              <w:bottom w:w="90" w:type="dxa"/>
              <w:right w:w="160" w:type="dxa"/>
            </w:tcMar>
            <w:vAlign w:val="center"/>
          </w:tcPr>
          <w:p w14:paraId="28718B52" w14:textId="77777777" w:rsidR="007D2028" w:rsidRDefault="00000000">
            <w:r>
              <w:rPr>
                <w:b/>
                <w:bCs/>
                <w:color w:val="FFFFFF"/>
                <w:spacing w:val="20"/>
                <w:sz w:val="26"/>
                <w:szCs w:val="26"/>
              </w:rPr>
              <w:t>The Spine</w:t>
            </w:r>
          </w:p>
        </w:tc>
      </w:tr>
    </w:tbl>
    <w:p w14:paraId="76C53D19" w14:textId="77777777" w:rsidR="007D2028" w:rsidRDefault="007D2028">
      <w:pPr>
        <w:spacing w:after="120"/>
      </w:pPr>
    </w:p>
    <w:p w14:paraId="07C5EA9C" w14:textId="77777777" w:rsidR="007D2028" w:rsidRDefault="00000000">
      <w:pPr>
        <w:pBdr>
          <w:bottom w:val="single" w:sz="6" w:space="4" w:color="137E78"/>
        </w:pBdr>
        <w:spacing w:before="200" w:after="90"/>
      </w:pPr>
      <w:r>
        <w:rPr>
          <w:b/>
          <w:bCs/>
          <w:color w:val="0E5C5B"/>
          <w:sz w:val="25"/>
          <w:szCs w:val="25"/>
        </w:rPr>
        <w:t>Slump test — a useful adjunct to SLR</w:t>
      </w:r>
    </w:p>
    <w:p w14:paraId="22B9658B" w14:textId="7701E6A3" w:rsidR="007D2028" w:rsidRDefault="00000000" w:rsidP="005001F2">
      <w:pPr>
        <w:spacing w:after="120" w:line="276" w:lineRule="auto"/>
      </w:pPr>
      <w:r>
        <w:t>The slump test adds to the straight leg raise (SLR) and can be more sensitive. It is especially helpful for patients who cannot lie flat. As the seated patient “slumps” forward, it places the neural structures under tension to reproduce their symptoms.</w:t>
      </w:r>
    </w:p>
    <w:p w14:paraId="3D795718" w14:textId="77777777" w:rsidR="007D2028" w:rsidRDefault="00000000">
      <w:pPr>
        <w:pBdr>
          <w:bottom w:val="single" w:sz="6" w:space="4" w:color="137E78"/>
        </w:pBdr>
        <w:spacing w:before="200" w:after="90"/>
      </w:pPr>
      <w:r>
        <w:rPr>
          <w:b/>
          <w:bCs/>
          <w:color w:val="0E5C5B"/>
          <w:sz w:val="25"/>
          <w:szCs w:val="25"/>
        </w:rPr>
        <w:t>Examine prone, too</w:t>
      </w:r>
    </w:p>
    <w:p w14:paraId="730F0623" w14:textId="77777777" w:rsidR="007D2028" w:rsidRDefault="00000000">
      <w:pPr>
        <w:spacing w:after="120" w:line="276" w:lineRule="auto"/>
      </w:pPr>
      <w:r>
        <w:t>Examining the spine with the patient lying prone is valuable. Feel for stiff or tender “dysfunctional” joints and work out which direction is restricted. This helps you advise the right stretches and exercises.</w:t>
      </w:r>
    </w:p>
    <w:p w14:paraId="226B656D" w14:textId="77777777" w:rsidR="007D2028" w:rsidRDefault="007D2028">
      <w:pPr>
        <w:spacing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7A32F6EE" w14:textId="77777777">
        <w:tblPrEx>
          <w:tblCellMar>
            <w:top w:w="0" w:type="dxa"/>
            <w:bottom w:w="0" w:type="dxa"/>
          </w:tblCellMar>
        </w:tblPrEx>
        <w:tc>
          <w:tcPr>
            <w:tcW w:w="9026" w:type="dxa"/>
            <w:tcBorders>
              <w:left w:val="single" w:sz="30" w:space="0" w:color="B07410"/>
            </w:tcBorders>
            <w:shd w:val="clear" w:color="auto" w:fill="FBF0D9"/>
            <w:tcMar>
              <w:top w:w="150" w:type="dxa"/>
              <w:left w:w="220" w:type="dxa"/>
              <w:bottom w:w="130" w:type="dxa"/>
              <w:right w:w="220" w:type="dxa"/>
            </w:tcMar>
          </w:tcPr>
          <w:p w14:paraId="0D1ED20E" w14:textId="77777777" w:rsidR="007D2028" w:rsidRDefault="00000000">
            <w:pPr>
              <w:spacing w:after="70"/>
            </w:pPr>
            <w:r>
              <w:rPr>
                <w:b/>
                <w:bCs/>
                <w:color w:val="B07410"/>
                <w:spacing w:val="50"/>
                <w:sz w:val="16"/>
                <w:szCs w:val="16"/>
              </w:rPr>
              <w:t>COMMUNICATION PEARL</w:t>
            </w:r>
          </w:p>
          <w:p w14:paraId="726D1330" w14:textId="77777777" w:rsidR="007D2028" w:rsidRDefault="00000000">
            <w:pPr>
              <w:spacing w:after="60" w:line="270" w:lineRule="auto"/>
            </w:pPr>
            <w:r>
              <w:t>The idea of a single dysfunctional joint can be reassuring. It steers patients away from unhelpful beliefs that all back pain means a “crumbling spine,” “wear and tear” or “arthritis.”</w:t>
            </w:r>
          </w:p>
          <w:p w14:paraId="5D8609CD" w14:textId="77777777" w:rsidR="007D2028" w:rsidRDefault="00000000">
            <w:pPr>
              <w:spacing w:after="60" w:line="270" w:lineRule="auto"/>
            </w:pPr>
            <w:r>
              <w:rPr>
                <w:b/>
                <w:bCs/>
              </w:rPr>
              <w:t>Positive, accurate language supports recovery and keeps patients active.</w:t>
            </w:r>
          </w:p>
        </w:tc>
      </w:tr>
    </w:tbl>
    <w:p w14:paraId="1037F329" w14:textId="77777777" w:rsidR="007D2028" w:rsidRDefault="007D2028">
      <w:pPr>
        <w:spacing w:after="1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0"/>
        <w:gridCol w:w="8266"/>
      </w:tblGrid>
      <w:tr w:rsidR="007D2028" w14:paraId="579A4CBA" w14:textId="77777777">
        <w:tblPrEx>
          <w:tblCellMar>
            <w:top w:w="0" w:type="dxa"/>
            <w:bottom w:w="0" w:type="dxa"/>
          </w:tblCellMar>
        </w:tblPrEx>
        <w:tc>
          <w:tcPr>
            <w:tcW w:w="760" w:type="dxa"/>
            <w:shd w:val="clear" w:color="auto" w:fill="B07410"/>
            <w:tcMar>
              <w:top w:w="90" w:type="dxa"/>
              <w:left w:w="160" w:type="dxa"/>
              <w:bottom w:w="90" w:type="dxa"/>
              <w:right w:w="160" w:type="dxa"/>
            </w:tcMar>
            <w:vAlign w:val="center"/>
          </w:tcPr>
          <w:p w14:paraId="4D78388C" w14:textId="77777777" w:rsidR="007D2028" w:rsidRDefault="00000000">
            <w:pPr>
              <w:jc w:val="center"/>
            </w:pPr>
            <w:r>
              <w:rPr>
                <w:b/>
                <w:bCs/>
                <w:color w:val="FFFFFF"/>
                <w:sz w:val="30"/>
                <w:szCs w:val="30"/>
              </w:rPr>
              <w:t>★</w:t>
            </w:r>
          </w:p>
        </w:tc>
        <w:tc>
          <w:tcPr>
            <w:tcW w:w="8266" w:type="dxa"/>
            <w:shd w:val="clear" w:color="auto" w:fill="0E5C5B"/>
            <w:tcMar>
              <w:top w:w="90" w:type="dxa"/>
              <w:left w:w="160" w:type="dxa"/>
              <w:bottom w:w="90" w:type="dxa"/>
              <w:right w:w="160" w:type="dxa"/>
            </w:tcMar>
            <w:vAlign w:val="center"/>
          </w:tcPr>
          <w:p w14:paraId="181E25BC" w14:textId="77777777" w:rsidR="007D2028" w:rsidRDefault="00000000">
            <w:r>
              <w:rPr>
                <w:b/>
                <w:bCs/>
                <w:color w:val="FFFFFF"/>
                <w:spacing w:val="20"/>
                <w:sz w:val="26"/>
                <w:szCs w:val="26"/>
              </w:rPr>
              <w:t>At a Glance</w:t>
            </w:r>
          </w:p>
        </w:tc>
      </w:tr>
    </w:tbl>
    <w:p w14:paraId="557E5496" w14:textId="77777777" w:rsidR="007D2028" w:rsidRDefault="007D2028">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7D2028" w14:paraId="6403433D" w14:textId="77777777">
        <w:tblPrEx>
          <w:tblCellMar>
            <w:top w:w="0" w:type="dxa"/>
            <w:bottom w:w="0" w:type="dxa"/>
          </w:tblCellMar>
        </w:tblPrEx>
        <w:tc>
          <w:tcPr>
            <w:tcW w:w="9026" w:type="dxa"/>
            <w:tcBorders>
              <w:left w:val="single" w:sz="30" w:space="0" w:color="0E5C5B"/>
            </w:tcBorders>
            <w:shd w:val="clear" w:color="auto" w:fill="F4F6F6"/>
            <w:tcMar>
              <w:top w:w="150" w:type="dxa"/>
              <w:left w:w="220" w:type="dxa"/>
              <w:bottom w:w="130" w:type="dxa"/>
              <w:right w:w="220" w:type="dxa"/>
            </w:tcMar>
          </w:tcPr>
          <w:p w14:paraId="6A7FD03D" w14:textId="77777777" w:rsidR="007D2028" w:rsidRDefault="00000000">
            <w:pPr>
              <w:spacing w:after="70"/>
            </w:pPr>
            <w:r>
              <w:rPr>
                <w:b/>
                <w:bCs/>
                <w:color w:val="0E5C5B"/>
                <w:spacing w:val="50"/>
                <w:sz w:val="16"/>
                <w:szCs w:val="16"/>
              </w:rPr>
              <w:t>QUICK RECAP</w:t>
            </w:r>
          </w:p>
          <w:p w14:paraId="44649485" w14:textId="77777777" w:rsidR="007D2028" w:rsidRDefault="00000000">
            <w:pPr>
              <w:spacing w:after="70" w:line="272" w:lineRule="auto"/>
            </w:pPr>
            <w:r>
              <w:rPr>
                <w:b/>
                <w:bCs/>
                <w:color w:val="0E5C5B"/>
              </w:rPr>
              <w:t xml:space="preserve">Knee  —  </w:t>
            </w:r>
            <w:r>
              <w:t>Use the Thessaly test (5° then 20°) to suggest a meniscal tear, but never rely on it alone. Relax the hamstrings before the anterior drawer test.</w:t>
            </w:r>
          </w:p>
          <w:p w14:paraId="61A27C6B" w14:textId="77777777" w:rsidR="007D2028" w:rsidRDefault="00000000">
            <w:pPr>
              <w:spacing w:after="70" w:line="272" w:lineRule="auto"/>
            </w:pPr>
            <w:r>
              <w:rPr>
                <w:b/>
                <w:bCs/>
                <w:color w:val="0E5C5B"/>
              </w:rPr>
              <w:t xml:space="preserve">Shoulder  —  </w:t>
            </w:r>
            <w:r>
              <w:t>Painful resisted external rotation points to the infraspinatus; painful resisted internal rotation points to the subscapularis.</w:t>
            </w:r>
          </w:p>
          <w:p w14:paraId="318C075D" w14:textId="77777777" w:rsidR="007D2028" w:rsidRDefault="00000000">
            <w:pPr>
              <w:spacing w:line="272" w:lineRule="auto"/>
            </w:pPr>
            <w:r>
              <w:rPr>
                <w:b/>
                <w:bCs/>
                <w:color w:val="0E5C5B"/>
              </w:rPr>
              <w:t xml:space="preserve">Spine  —  </w:t>
            </w:r>
            <w:r>
              <w:t>Add the slump test to the SLR, examine prone for dysfunctional joints, and choose your words to reassure.</w:t>
            </w:r>
          </w:p>
        </w:tc>
      </w:tr>
    </w:tbl>
    <w:p w14:paraId="6C376DCC" w14:textId="77777777" w:rsidR="00732EE6" w:rsidRDefault="00732EE6"/>
    <w:sectPr w:rsidR="00732EE6">
      <w:headerReference w:type="default" r:id="rId7"/>
      <w:footerReference w:type="default" r:id="rId8"/>
      <w:headerReference w:type="first" r:id="rId9"/>
      <w:footerReference w:type="first" r:id="rId10"/>
      <w:pgSz w:w="11906" w:h="16838"/>
      <w:pgMar w:top="1180" w:right="1440" w:bottom="1180" w:left="144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BACAE" w14:textId="77777777" w:rsidR="00732EE6" w:rsidRDefault="00732EE6">
      <w:r>
        <w:separator/>
      </w:r>
    </w:p>
  </w:endnote>
  <w:endnote w:type="continuationSeparator" w:id="0">
    <w:p w14:paraId="0D9C17F5" w14:textId="77777777" w:rsidR="00732EE6" w:rsidRDefault="00732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25FFC" w14:textId="77777777" w:rsidR="007D2028" w:rsidRDefault="00000000">
    <w:pPr>
      <w:pBdr>
        <w:top w:val="single" w:sz="6" w:space="6" w:color="D5E0DF"/>
      </w:pBdr>
      <w:tabs>
        <w:tab w:val="right" w:pos="9026"/>
      </w:tabs>
    </w:pPr>
    <w:r>
      <w:rPr>
        <w:color w:val="5C6E6D"/>
        <w:sz w:val="15"/>
        <w:szCs w:val="15"/>
      </w:rPr>
      <w:t>Bradford VTS Teaching Aids</w:t>
    </w:r>
    <w:r>
      <w:rPr>
        <w:color w:val="5C6E6D"/>
        <w:sz w:val="15"/>
        <w:szCs w:val="15"/>
      </w:rPr>
      <w:tab/>
      <w:t xml:space="preserve">Page </w:t>
    </w:r>
    <w:r>
      <w:rPr>
        <w:color w:val="5C6E6D"/>
        <w:sz w:val="15"/>
        <w:szCs w:val="15"/>
      </w:rPr>
      <w:fldChar w:fldCharType="begin"/>
    </w:r>
    <w:r>
      <w:rPr>
        <w:color w:val="5C6E6D"/>
        <w:sz w:val="15"/>
        <w:szCs w:val="15"/>
      </w:rPr>
      <w:instrText>PAGE</w:instrText>
    </w:r>
    <w:r>
      <w:rPr>
        <w:color w:val="5C6E6D"/>
        <w:sz w:val="15"/>
        <w:szCs w:val="15"/>
      </w:rPr>
      <w:fldChar w:fldCharType="separate"/>
    </w:r>
    <w:r w:rsidR="005001F2">
      <w:rPr>
        <w:noProof/>
        <w:color w:val="5C6E6D"/>
        <w:sz w:val="15"/>
        <w:szCs w:val="15"/>
      </w:rPr>
      <w:t>2</w:t>
    </w:r>
    <w:r>
      <w:rPr>
        <w:color w:val="5C6E6D"/>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FC4D0" w14:textId="77777777" w:rsidR="007D2028" w:rsidRDefault="00000000">
    <w:pPr>
      <w:pBdr>
        <w:top w:val="single" w:sz="6" w:space="6" w:color="D5E0DF"/>
      </w:pBdr>
    </w:pPr>
    <w:r>
      <w:rPr>
        <w:color w:val="5C6E6D"/>
        <w:sz w:val="15"/>
        <w:szCs w:val="15"/>
      </w:rPr>
      <w:t>Bradford VTS Teaching Aids  ·  www.bradfordvts.co.uk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04765" w14:textId="77777777" w:rsidR="00732EE6" w:rsidRDefault="00732EE6">
      <w:r>
        <w:separator/>
      </w:r>
    </w:p>
  </w:footnote>
  <w:footnote w:type="continuationSeparator" w:id="0">
    <w:p w14:paraId="67B3A8AF" w14:textId="77777777" w:rsidR="00732EE6" w:rsidRDefault="00732E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6A983" w14:textId="77777777" w:rsidR="007D2028" w:rsidRDefault="00000000">
    <w:pPr>
      <w:pBdr>
        <w:bottom w:val="single" w:sz="6" w:space="6" w:color="D5E0DF"/>
      </w:pBdr>
      <w:tabs>
        <w:tab w:val="right" w:pos="9026"/>
      </w:tabs>
    </w:pPr>
    <w:r>
      <w:rPr>
        <w:b/>
        <w:bCs/>
        <w:color w:val="0E5C5B"/>
        <w:spacing w:val="50"/>
        <w:sz w:val="15"/>
        <w:szCs w:val="15"/>
      </w:rPr>
      <w:t>BRADFORD VTS TEACHING AIDS</w:t>
    </w:r>
    <w:r>
      <w:rPr>
        <w:color w:val="5C6E6D"/>
        <w:sz w:val="15"/>
        <w:szCs w:val="15"/>
      </w:rPr>
      <w:tab/>
      <w:t>Musculoskeletal Examination — Top Tips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12552" w14:textId="77777777" w:rsidR="007D2028" w:rsidRDefault="007D202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317FE"/>
    <w:multiLevelType w:val="hybridMultilevel"/>
    <w:tmpl w:val="1EB8F1A2"/>
    <w:lvl w:ilvl="0" w:tplc="743CB7DC">
      <w:start w:val="1"/>
      <w:numFmt w:val="decimal"/>
      <w:lvlText w:val="%1."/>
      <w:lvlJc w:val="left"/>
      <w:pPr>
        <w:ind w:left="420" w:hanging="280"/>
      </w:pPr>
      <w:rPr>
        <w:b/>
        <w:bCs/>
        <w:color w:val="8A5A0C"/>
      </w:rPr>
    </w:lvl>
    <w:lvl w:ilvl="1" w:tplc="0A001400">
      <w:numFmt w:val="decimal"/>
      <w:lvlText w:val=""/>
      <w:lvlJc w:val="left"/>
    </w:lvl>
    <w:lvl w:ilvl="2" w:tplc="BC1C215A">
      <w:numFmt w:val="decimal"/>
      <w:lvlText w:val=""/>
      <w:lvlJc w:val="left"/>
    </w:lvl>
    <w:lvl w:ilvl="3" w:tplc="CA9E8B88">
      <w:numFmt w:val="decimal"/>
      <w:lvlText w:val=""/>
      <w:lvlJc w:val="left"/>
    </w:lvl>
    <w:lvl w:ilvl="4" w:tplc="4246EB60">
      <w:numFmt w:val="decimal"/>
      <w:lvlText w:val=""/>
      <w:lvlJc w:val="left"/>
    </w:lvl>
    <w:lvl w:ilvl="5" w:tplc="83A85964">
      <w:numFmt w:val="decimal"/>
      <w:lvlText w:val=""/>
      <w:lvlJc w:val="left"/>
    </w:lvl>
    <w:lvl w:ilvl="6" w:tplc="C2DADEDE">
      <w:numFmt w:val="decimal"/>
      <w:lvlText w:val=""/>
      <w:lvlJc w:val="left"/>
    </w:lvl>
    <w:lvl w:ilvl="7" w:tplc="AF4206D4">
      <w:numFmt w:val="decimal"/>
      <w:lvlText w:val=""/>
      <w:lvlJc w:val="left"/>
    </w:lvl>
    <w:lvl w:ilvl="8" w:tplc="5640273A">
      <w:numFmt w:val="decimal"/>
      <w:lvlText w:val=""/>
      <w:lvlJc w:val="left"/>
    </w:lvl>
  </w:abstractNum>
  <w:abstractNum w:abstractNumId="1" w15:restartNumberingAfterBreak="0">
    <w:nsid w:val="161A2373"/>
    <w:multiLevelType w:val="hybridMultilevel"/>
    <w:tmpl w:val="3D5EAA16"/>
    <w:lvl w:ilvl="0" w:tplc="9ABCB4DC">
      <w:start w:val="1"/>
      <w:numFmt w:val="bullet"/>
      <w:lvlText w:val="•"/>
      <w:lvlJc w:val="left"/>
      <w:pPr>
        <w:ind w:left="360" w:hanging="220"/>
      </w:pPr>
      <w:rPr>
        <w:color w:val="137E78"/>
      </w:rPr>
    </w:lvl>
    <w:lvl w:ilvl="1" w:tplc="F432E198">
      <w:numFmt w:val="decimal"/>
      <w:lvlText w:val=""/>
      <w:lvlJc w:val="left"/>
    </w:lvl>
    <w:lvl w:ilvl="2" w:tplc="3092A664">
      <w:numFmt w:val="decimal"/>
      <w:lvlText w:val=""/>
      <w:lvlJc w:val="left"/>
    </w:lvl>
    <w:lvl w:ilvl="3" w:tplc="B9940020">
      <w:numFmt w:val="decimal"/>
      <w:lvlText w:val=""/>
      <w:lvlJc w:val="left"/>
    </w:lvl>
    <w:lvl w:ilvl="4" w:tplc="159EA5E4">
      <w:numFmt w:val="decimal"/>
      <w:lvlText w:val=""/>
      <w:lvlJc w:val="left"/>
    </w:lvl>
    <w:lvl w:ilvl="5" w:tplc="9356BD02">
      <w:numFmt w:val="decimal"/>
      <w:lvlText w:val=""/>
      <w:lvlJc w:val="left"/>
    </w:lvl>
    <w:lvl w:ilvl="6" w:tplc="90404D50">
      <w:numFmt w:val="decimal"/>
      <w:lvlText w:val=""/>
      <w:lvlJc w:val="left"/>
    </w:lvl>
    <w:lvl w:ilvl="7" w:tplc="4642AFA0">
      <w:numFmt w:val="decimal"/>
      <w:lvlText w:val=""/>
      <w:lvlJc w:val="left"/>
    </w:lvl>
    <w:lvl w:ilvl="8" w:tplc="2E8AB3F8">
      <w:numFmt w:val="decimal"/>
      <w:lvlText w:val=""/>
      <w:lvlJc w:val="left"/>
    </w:lvl>
  </w:abstractNum>
  <w:abstractNum w:abstractNumId="2" w15:restartNumberingAfterBreak="0">
    <w:nsid w:val="1F06570E"/>
    <w:multiLevelType w:val="hybridMultilevel"/>
    <w:tmpl w:val="EC90DF08"/>
    <w:lvl w:ilvl="0" w:tplc="D8F4CA92">
      <w:start w:val="1"/>
      <w:numFmt w:val="bullet"/>
      <w:lvlText w:val="●"/>
      <w:lvlJc w:val="left"/>
      <w:pPr>
        <w:ind w:left="720" w:hanging="360"/>
      </w:pPr>
    </w:lvl>
    <w:lvl w:ilvl="1" w:tplc="C302AD3C">
      <w:start w:val="1"/>
      <w:numFmt w:val="bullet"/>
      <w:lvlText w:val="○"/>
      <w:lvlJc w:val="left"/>
      <w:pPr>
        <w:ind w:left="1440" w:hanging="360"/>
      </w:pPr>
    </w:lvl>
    <w:lvl w:ilvl="2" w:tplc="55D89206">
      <w:start w:val="1"/>
      <w:numFmt w:val="bullet"/>
      <w:lvlText w:val="■"/>
      <w:lvlJc w:val="left"/>
      <w:pPr>
        <w:ind w:left="2160" w:hanging="360"/>
      </w:pPr>
    </w:lvl>
    <w:lvl w:ilvl="3" w:tplc="54A8037E">
      <w:start w:val="1"/>
      <w:numFmt w:val="bullet"/>
      <w:lvlText w:val="●"/>
      <w:lvlJc w:val="left"/>
      <w:pPr>
        <w:ind w:left="2880" w:hanging="360"/>
      </w:pPr>
    </w:lvl>
    <w:lvl w:ilvl="4" w:tplc="52AC18A2">
      <w:start w:val="1"/>
      <w:numFmt w:val="bullet"/>
      <w:lvlText w:val="○"/>
      <w:lvlJc w:val="left"/>
      <w:pPr>
        <w:ind w:left="3600" w:hanging="360"/>
      </w:pPr>
    </w:lvl>
    <w:lvl w:ilvl="5" w:tplc="822C5008">
      <w:start w:val="1"/>
      <w:numFmt w:val="bullet"/>
      <w:lvlText w:val="■"/>
      <w:lvlJc w:val="left"/>
      <w:pPr>
        <w:ind w:left="4320" w:hanging="360"/>
      </w:pPr>
    </w:lvl>
    <w:lvl w:ilvl="6" w:tplc="9648F25A">
      <w:start w:val="1"/>
      <w:numFmt w:val="bullet"/>
      <w:lvlText w:val="●"/>
      <w:lvlJc w:val="left"/>
      <w:pPr>
        <w:ind w:left="5040" w:hanging="360"/>
      </w:pPr>
    </w:lvl>
    <w:lvl w:ilvl="7" w:tplc="156068C4">
      <w:start w:val="1"/>
      <w:numFmt w:val="bullet"/>
      <w:lvlText w:val="●"/>
      <w:lvlJc w:val="left"/>
      <w:pPr>
        <w:ind w:left="5760" w:hanging="360"/>
      </w:pPr>
    </w:lvl>
    <w:lvl w:ilvl="8" w:tplc="B760686A">
      <w:start w:val="1"/>
      <w:numFmt w:val="bullet"/>
      <w:lvlText w:val="●"/>
      <w:lvlJc w:val="left"/>
      <w:pPr>
        <w:ind w:left="6480" w:hanging="360"/>
      </w:pPr>
    </w:lvl>
  </w:abstractNum>
  <w:num w:numId="1" w16cid:durableId="2097360499">
    <w:abstractNumId w:val="2"/>
    <w:lvlOverride w:ilvl="0">
      <w:startOverride w:val="1"/>
    </w:lvlOverride>
  </w:num>
  <w:num w:numId="2" w16cid:durableId="1728651645">
    <w:abstractNumId w:val="1"/>
    <w:lvlOverride w:ilvl="0">
      <w:startOverride w:val="1"/>
    </w:lvlOverride>
  </w:num>
  <w:num w:numId="3" w16cid:durableId="63991913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028"/>
    <w:rsid w:val="005001F2"/>
    <w:rsid w:val="00600881"/>
    <w:rsid w:val="00732EE6"/>
    <w:rsid w:val="007D20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601FE"/>
  <w15:docId w15:val="{803DE4DB-83FE-4772-AAC5-8A0DA1BEA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9302F"/>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800</Words>
  <Characters>4096</Characters>
  <Application>Microsoft Office Word</Application>
  <DocSecurity>0</DocSecurity>
  <Lines>124</Lines>
  <Paragraphs>89</Paragraphs>
  <ScaleCrop>false</ScaleCrop>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Musculoskeletal Examination — Top Tips</dc:title>
  <dc:creator>Bradford VTS</dc:creator>
  <cp:lastModifiedBy>Ramesh Mehay</cp:lastModifiedBy>
  <cp:revision>2</cp:revision>
  <dcterms:created xsi:type="dcterms:W3CDTF">2026-06-17T16:41:00Z</dcterms:created>
  <dcterms:modified xsi:type="dcterms:W3CDTF">2026-06-17T16:44:00Z</dcterms:modified>
</cp:coreProperties>
</file>