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435C531A" w14:textId="77777777">
        <w:tblPrEx>
          <w:tblCellMar>
            <w:top w:w="0" w:type="dxa"/>
            <w:bottom w:w="0" w:type="dxa"/>
          </w:tblCellMar>
        </w:tblPrEx>
        <w:tc>
          <w:tcPr>
            <w:tcW w:w="9026" w:type="dxa"/>
            <w:shd w:val="clear" w:color="auto" w:fill="0A4A38"/>
            <w:tcMar>
              <w:top w:w="120" w:type="dxa"/>
              <w:left w:w="200" w:type="dxa"/>
              <w:bottom w:w="120" w:type="dxa"/>
              <w:right w:w="200" w:type="dxa"/>
            </w:tcMar>
          </w:tcPr>
          <w:p w14:paraId="1E0625D2" w14:textId="77777777" w:rsidR="00480733" w:rsidRDefault="00000000">
            <w:r>
              <w:rPr>
                <w:b/>
                <w:bCs/>
                <w:color w:val="FFFFFF"/>
                <w:sz w:val="26"/>
                <w:szCs w:val="26"/>
              </w:rPr>
              <w:t>BRADFORD VTS TEACHING AID</w:t>
            </w:r>
          </w:p>
          <w:p w14:paraId="6CE5B4F7" w14:textId="77777777" w:rsidR="00480733" w:rsidRDefault="00000000">
            <w:pPr>
              <w:spacing w:before="40"/>
            </w:pPr>
            <w:r>
              <w:rPr>
                <w:color w:val="9FE9CE"/>
                <w:sz w:val="19"/>
                <w:szCs w:val="19"/>
              </w:rPr>
              <w:t xml:space="preserve">28 June </w:t>
            </w:r>
            <w:proofErr w:type="gramStart"/>
            <w:r>
              <w:rPr>
                <w:color w:val="9FE9CE"/>
                <w:sz w:val="19"/>
                <w:szCs w:val="19"/>
              </w:rPr>
              <w:t>2026  ·</w:t>
            </w:r>
            <w:proofErr w:type="gramEnd"/>
            <w:r>
              <w:rPr>
                <w:color w:val="9FE9CE"/>
                <w:sz w:val="19"/>
                <w:szCs w:val="19"/>
              </w:rPr>
              <w:t xml:space="preserve">  GP Specialty Training resource</w:t>
            </w:r>
          </w:p>
        </w:tc>
      </w:tr>
    </w:tbl>
    <w:p w14:paraId="47ECF186" w14:textId="77777777" w:rsidR="00480733" w:rsidRDefault="00480733">
      <w:pPr>
        <w:spacing w:after="60"/>
      </w:pPr>
    </w:p>
    <w:p w14:paraId="560605BB" w14:textId="77777777" w:rsidR="00BE17AD" w:rsidRDefault="00BE17AD">
      <w:pPr>
        <w:spacing w:after="60"/>
        <w:rPr>
          <w:b/>
          <w:bCs/>
          <w:color w:val="0A4A38"/>
          <w:sz w:val="34"/>
          <w:szCs w:val="34"/>
        </w:rPr>
      </w:pPr>
    </w:p>
    <w:p w14:paraId="67FA7CCA" w14:textId="6F9F86DF" w:rsidR="00480733" w:rsidRDefault="00000000">
      <w:pPr>
        <w:spacing w:after="60"/>
      </w:pPr>
      <w:r>
        <w:rPr>
          <w:b/>
          <w:bCs/>
          <w:color w:val="0A4A38"/>
          <w:sz w:val="34"/>
          <w:szCs w:val="34"/>
        </w:rPr>
        <w:t>Reading the Bone Density (DXA) Scan</w:t>
      </w:r>
    </w:p>
    <w:p w14:paraId="0F924CCB" w14:textId="77777777" w:rsidR="00480733" w:rsidRDefault="00000000">
      <w:pPr>
        <w:spacing w:after="140"/>
      </w:pPr>
      <w:r>
        <w:rPr>
          <w:i/>
          <w:iCs/>
          <w:color w:val="138059"/>
          <w:sz w:val="23"/>
          <w:szCs w:val="23"/>
        </w:rPr>
        <w:t>T-scores and Z-scores made simple — what they mean, and what to do next</w:t>
      </w:r>
    </w:p>
    <w:p w14:paraId="7A98C170" w14:textId="77777777" w:rsidR="00480733" w:rsidRDefault="00000000">
      <w:pPr>
        <w:spacing w:after="120" w:line="276" w:lineRule="auto"/>
      </w:pPr>
      <w:r>
        <w:rPr>
          <w:color w:val="3C5147"/>
          <w:sz w:val="20"/>
          <w:szCs w:val="20"/>
        </w:rPr>
        <w:t>This teaching aid is for GP trainees, including International Medical Graduates (IMGs) new to UK practice. All clinical guidance is based on NICE (UK). A short source list is given at the end so every figure can be cross-checked.</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1B294C6B" w14:textId="77777777">
        <w:tblPrEx>
          <w:tblCellMar>
            <w:top w:w="0" w:type="dxa"/>
            <w:bottom w:w="0" w:type="dxa"/>
          </w:tblCellMar>
        </w:tblPrEx>
        <w:tc>
          <w:tcPr>
            <w:tcW w:w="9026" w:type="dxa"/>
            <w:tcBorders>
              <w:top w:val="single" w:sz="4" w:space="0" w:color="0A4A38"/>
              <w:left w:val="single" w:sz="24" w:space="0" w:color="0A4A38"/>
              <w:bottom w:val="single" w:sz="4" w:space="0" w:color="0A4A38"/>
              <w:right w:val="single" w:sz="4" w:space="0" w:color="0A4A38"/>
            </w:tcBorders>
            <w:shd w:val="clear" w:color="auto" w:fill="0F6449"/>
            <w:tcMar>
              <w:top w:w="140" w:type="dxa"/>
              <w:left w:w="200" w:type="dxa"/>
              <w:bottom w:w="140" w:type="dxa"/>
              <w:right w:w="200" w:type="dxa"/>
            </w:tcMar>
          </w:tcPr>
          <w:p w14:paraId="5141E0A5" w14:textId="77777777" w:rsidR="00480733" w:rsidRDefault="00000000">
            <w:pPr>
              <w:spacing w:after="80"/>
            </w:pPr>
            <w:r>
              <w:rPr>
                <w:b/>
                <w:bCs/>
                <w:color w:val="FFFFFF"/>
                <w:sz w:val="21"/>
                <w:szCs w:val="21"/>
              </w:rPr>
              <w:t>⭐ If you only read one thing</w:t>
            </w:r>
          </w:p>
          <w:p w14:paraId="6753F6A0" w14:textId="77777777" w:rsidR="00480733" w:rsidRDefault="00000000">
            <w:pPr>
              <w:spacing w:line="264" w:lineRule="auto"/>
            </w:pPr>
            <w:r>
              <w:rPr>
                <w:color w:val="FFFFFF"/>
              </w:rPr>
              <w:t xml:space="preserve">A DXA scan gives two numbers. The </w:t>
            </w:r>
            <w:r>
              <w:rPr>
                <w:b/>
                <w:bCs/>
                <w:color w:val="FFFFFF"/>
              </w:rPr>
              <w:t>T-score</w:t>
            </w:r>
            <w:r>
              <w:rPr>
                <w:color w:val="FFFFFF"/>
              </w:rPr>
              <w:t xml:space="preserve"> compares your patient with a healthy 30-year-old and is used to </w:t>
            </w:r>
            <w:r>
              <w:rPr>
                <w:b/>
                <w:bCs/>
                <w:color w:val="FFFFFF"/>
              </w:rPr>
              <w:t>diagnose</w:t>
            </w:r>
            <w:r>
              <w:rPr>
                <w:color w:val="FFFFFF"/>
              </w:rPr>
              <w:t xml:space="preserve"> osteoporosis. The </w:t>
            </w:r>
            <w:r>
              <w:rPr>
                <w:b/>
                <w:bCs/>
                <w:color w:val="FFFFFF"/>
              </w:rPr>
              <w:t>Z-score</w:t>
            </w:r>
            <w:r>
              <w:rPr>
                <w:color w:val="FFFFFF"/>
              </w:rPr>
              <w:t xml:space="preserve"> compares them with people their own age and is used to </w:t>
            </w:r>
            <w:r>
              <w:rPr>
                <w:b/>
                <w:bCs/>
                <w:color w:val="FFFFFF"/>
              </w:rPr>
              <w:t>spot an unexpected, possibly secondary, cause</w:t>
            </w:r>
            <w:r>
              <w:rPr>
                <w:color w:val="FFFFFF"/>
              </w:rPr>
              <w:t xml:space="preserve">. Remember the two cut-offs: </w:t>
            </w:r>
            <w:r>
              <w:rPr>
                <w:b/>
                <w:bCs/>
                <w:color w:val="FFFFFF"/>
              </w:rPr>
              <w:t>−1 and −2.5.</w:t>
            </w:r>
          </w:p>
        </w:tc>
      </w:tr>
    </w:tbl>
    <w:p w14:paraId="1A6554C1" w14:textId="77777777" w:rsidR="00480733" w:rsidRDefault="00480733">
      <w:pPr>
        <w:spacing w:after="60"/>
      </w:pPr>
    </w:p>
    <w:p w14:paraId="44C4485B" w14:textId="77777777" w:rsidR="00BE17AD" w:rsidRPr="00BE17AD" w:rsidRDefault="00BE17AD">
      <w:pPr>
        <w:pStyle w:val="Heading1"/>
        <w:rPr>
          <w:sz w:val="8"/>
          <w:szCs w:val="8"/>
        </w:rPr>
      </w:pPr>
    </w:p>
    <w:p w14:paraId="3C712636" w14:textId="4016C65A" w:rsidR="00480733" w:rsidRDefault="00000000">
      <w:pPr>
        <w:pStyle w:val="Heading1"/>
      </w:pPr>
      <w:r>
        <w:t xml:space="preserve">This lesson </w:t>
      </w:r>
      <w:proofErr w:type="gramStart"/>
      <w:r>
        <w:t>at a glance</w:t>
      </w:r>
      <w:proofErr w:type="gramEnd"/>
    </w:p>
    <w:p w14:paraId="5BD3C500" w14:textId="77777777" w:rsidR="00480733" w:rsidRDefault="00000000">
      <w:pPr>
        <w:pStyle w:val="ListParagraph"/>
        <w:numPr>
          <w:ilvl w:val="0"/>
          <w:numId w:val="2"/>
        </w:numPr>
        <w:spacing w:after="60" w:line="264" w:lineRule="auto"/>
      </w:pPr>
      <w:r>
        <w:t xml:space="preserve">What a DXA (DEXA) scan and “BMD” </w:t>
      </w:r>
      <w:proofErr w:type="gramStart"/>
      <w:r>
        <w:t>actually measure</w:t>
      </w:r>
      <w:proofErr w:type="gramEnd"/>
      <w:r>
        <w:t>.</w:t>
      </w:r>
    </w:p>
    <w:p w14:paraId="6639739B" w14:textId="77777777" w:rsidR="00480733" w:rsidRDefault="00000000">
      <w:pPr>
        <w:pStyle w:val="ListParagraph"/>
        <w:numPr>
          <w:ilvl w:val="0"/>
          <w:numId w:val="2"/>
        </w:numPr>
        <w:spacing w:after="60" w:line="264" w:lineRule="auto"/>
      </w:pPr>
      <w:r>
        <w:t>What a T-score is — with a simple analogy and a memory hook.</w:t>
      </w:r>
    </w:p>
    <w:p w14:paraId="4514DCA5" w14:textId="77777777" w:rsidR="00480733" w:rsidRDefault="00000000">
      <w:pPr>
        <w:pStyle w:val="ListParagraph"/>
        <w:numPr>
          <w:ilvl w:val="0"/>
          <w:numId w:val="2"/>
        </w:numPr>
        <w:spacing w:after="60" w:line="264" w:lineRule="auto"/>
      </w:pPr>
      <w:r>
        <w:t>What a Z-score is — and why it is a different question.</w:t>
      </w:r>
    </w:p>
    <w:p w14:paraId="4C618FE4" w14:textId="77777777" w:rsidR="00480733" w:rsidRDefault="00000000">
      <w:pPr>
        <w:pStyle w:val="ListParagraph"/>
        <w:numPr>
          <w:ilvl w:val="0"/>
          <w:numId w:val="2"/>
        </w:numPr>
        <w:spacing w:after="60" w:line="264" w:lineRule="auto"/>
      </w:pPr>
      <w:r>
        <w:t>The WHO bands NICE uses: Normal, Osteopenia, Osteoporosis.</w:t>
      </w:r>
    </w:p>
    <w:p w14:paraId="55D9F186" w14:textId="77777777" w:rsidR="00480733" w:rsidRDefault="00000000">
      <w:pPr>
        <w:pStyle w:val="ListParagraph"/>
        <w:numPr>
          <w:ilvl w:val="0"/>
          <w:numId w:val="2"/>
        </w:numPr>
        <w:spacing w:after="60" w:line="264" w:lineRule="auto"/>
      </w:pPr>
      <w:r>
        <w:t>When to read the T-score and when to read the Z-score.</w:t>
      </w:r>
    </w:p>
    <w:p w14:paraId="25137766" w14:textId="77777777" w:rsidR="00480733" w:rsidRDefault="00000000">
      <w:pPr>
        <w:pStyle w:val="ListParagraph"/>
        <w:numPr>
          <w:ilvl w:val="0"/>
          <w:numId w:val="2"/>
        </w:numPr>
        <w:spacing w:after="60" w:line="264" w:lineRule="auto"/>
      </w:pPr>
      <w:r>
        <w:t>Worked examples: real scores and what to do next.</w:t>
      </w:r>
    </w:p>
    <w:p w14:paraId="76D85619" w14:textId="77777777" w:rsidR="00480733" w:rsidRDefault="00000000">
      <w:pPr>
        <w:pStyle w:val="ListParagraph"/>
        <w:numPr>
          <w:ilvl w:val="0"/>
          <w:numId w:val="2"/>
        </w:numPr>
        <w:spacing w:after="60" w:line="264" w:lineRule="auto"/>
      </w:pPr>
      <w:r>
        <w:t>Where the scan fits in the NICE assessment pathway.</w:t>
      </w:r>
    </w:p>
    <w:p w14:paraId="646BF950" w14:textId="77777777" w:rsidR="00480733" w:rsidRDefault="00000000">
      <w:pPr>
        <w:pStyle w:val="ListParagraph"/>
        <w:numPr>
          <w:ilvl w:val="0"/>
          <w:numId w:val="2"/>
        </w:numPr>
        <w:spacing w:after="60" w:line="264" w:lineRule="auto"/>
      </w:pPr>
      <w:r>
        <w:t>First-line treatment and the safety checks around it (NICE).</w:t>
      </w:r>
    </w:p>
    <w:p w14:paraId="1D485233" w14:textId="77777777" w:rsidR="00480733" w:rsidRDefault="00000000">
      <w:pPr>
        <w:pStyle w:val="ListParagraph"/>
        <w:numPr>
          <w:ilvl w:val="0"/>
          <w:numId w:val="2"/>
        </w:numPr>
        <w:spacing w:after="60" w:line="264" w:lineRule="auto"/>
      </w:pPr>
      <w:r>
        <w:t>Quick self-test questions to lock it in.</w:t>
      </w:r>
    </w:p>
    <w:p w14:paraId="01C599DE" w14:textId="77777777" w:rsidR="00BE17AD" w:rsidRDefault="00BE17AD">
      <w:pPr>
        <w:pStyle w:val="Heading1"/>
      </w:pPr>
    </w:p>
    <w:p w14:paraId="7A8623B9" w14:textId="3918A6D9" w:rsidR="00480733" w:rsidRDefault="00000000">
      <w:pPr>
        <w:pStyle w:val="Heading1"/>
      </w:pPr>
      <w:r>
        <w:t xml:space="preserve">Why </w:t>
      </w:r>
      <w:proofErr w:type="gramStart"/>
      <w:r>
        <w:t>this matters</w:t>
      </w:r>
      <w:proofErr w:type="gramEnd"/>
    </w:p>
    <w:p w14:paraId="07156F10" w14:textId="77777777" w:rsidR="00480733" w:rsidRDefault="00000000">
      <w:pPr>
        <w:spacing w:after="120" w:line="276" w:lineRule="auto"/>
      </w:pPr>
      <w:r>
        <w:rPr>
          <w:sz w:val="21"/>
          <w:szCs w:val="21"/>
        </w:rPr>
        <w:t xml:space="preserve">Fragility fractures are common and serious — they cause pain, loss of independence, and in the case of hip fracture, significant mortality. As a GP you will order DXA scans, receive the reports, and decide what to do. Reading the scan confidently means you treat the right people, avoid over-treating the worried-well, and catch the younger patient whose low bone density is a clue to a hidden disease. It is also </w:t>
      </w:r>
      <w:proofErr w:type="gramStart"/>
      <w:r>
        <w:rPr>
          <w:sz w:val="21"/>
          <w:szCs w:val="21"/>
        </w:rPr>
        <w:t>high-yield</w:t>
      </w:r>
      <w:proofErr w:type="gramEnd"/>
      <w:r>
        <w:rPr>
          <w:sz w:val="21"/>
          <w:szCs w:val="21"/>
        </w:rPr>
        <w:t xml:space="preserve"> for the AKT and a realistic scenario for the SCA.</w:t>
      </w:r>
    </w:p>
    <w:p w14:paraId="51EC41A7" w14:textId="77777777" w:rsidR="00BE17AD" w:rsidRDefault="00BE17AD">
      <w:pPr>
        <w:rPr>
          <w:b/>
          <w:bCs/>
          <w:color w:val="0A4A38"/>
          <w:sz w:val="27"/>
          <w:szCs w:val="27"/>
        </w:rPr>
      </w:pPr>
      <w:r>
        <w:br w:type="page"/>
      </w:r>
    </w:p>
    <w:p w14:paraId="5C528038" w14:textId="32932481" w:rsidR="00480733" w:rsidRDefault="00000000">
      <w:pPr>
        <w:pStyle w:val="Heading1"/>
      </w:pPr>
      <w:proofErr w:type="gramStart"/>
      <w:r>
        <w:lastRenderedPageBreak/>
        <w:t>1  What</w:t>
      </w:r>
      <w:proofErr w:type="gramEnd"/>
      <w:r>
        <w:t xml:space="preserve"> the scan measures</w:t>
      </w:r>
      <w:r>
        <w:rPr>
          <w:color w:val="138059"/>
        </w:rPr>
        <w:t>: BMD, DXA and the two scores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7BC3D25D" w14:textId="77777777">
        <w:tblPrEx>
          <w:tblCellMar>
            <w:top w:w="0" w:type="dxa"/>
            <w:bottom w:w="0" w:type="dxa"/>
          </w:tblCellMar>
        </w:tblPrEx>
        <w:tc>
          <w:tcPr>
            <w:tcW w:w="9026" w:type="dxa"/>
            <w:tcBorders>
              <w:top w:val="single" w:sz="4" w:space="0" w:color="A8C7F5"/>
              <w:left w:val="single" w:sz="24" w:space="0" w:color="A8C7F5"/>
              <w:bottom w:val="single" w:sz="4" w:space="0" w:color="A8C7F5"/>
              <w:right w:val="single" w:sz="4" w:space="0" w:color="A8C7F5"/>
            </w:tcBorders>
            <w:shd w:val="clear" w:color="auto" w:fill="DCEAFD"/>
            <w:tcMar>
              <w:top w:w="140" w:type="dxa"/>
              <w:left w:w="200" w:type="dxa"/>
              <w:bottom w:w="140" w:type="dxa"/>
              <w:right w:w="200" w:type="dxa"/>
            </w:tcMar>
          </w:tcPr>
          <w:p w14:paraId="640DC227" w14:textId="77777777" w:rsidR="00480733" w:rsidRDefault="00000000">
            <w:pPr>
              <w:spacing w:after="80"/>
            </w:pPr>
            <w:r>
              <w:rPr>
                <w:b/>
                <w:bCs/>
                <w:color w:val="1D4ED8"/>
                <w:sz w:val="21"/>
                <w:szCs w:val="21"/>
              </w:rPr>
              <w:t>🔎 Background: the plain-English version</w:t>
            </w:r>
          </w:p>
          <w:p w14:paraId="7EDE3BE3" w14:textId="77777777" w:rsidR="00480733" w:rsidRDefault="00000000">
            <w:pPr>
              <w:spacing w:after="60" w:line="264" w:lineRule="auto"/>
            </w:pPr>
            <w:r>
              <w:rPr>
                <w:b/>
                <w:bCs/>
                <w:color w:val="14241E"/>
              </w:rPr>
              <w:t xml:space="preserve">DXA (or DEXA) </w:t>
            </w:r>
            <w:r>
              <w:rPr>
                <w:color w:val="14241E"/>
              </w:rPr>
              <w:t xml:space="preserve">stands for </w:t>
            </w:r>
            <w:r>
              <w:rPr>
                <w:i/>
                <w:iCs/>
                <w:color w:val="14241E"/>
              </w:rPr>
              <w:t>dual-energy X-ray absorptiometry</w:t>
            </w:r>
            <w:r>
              <w:rPr>
                <w:color w:val="14241E"/>
              </w:rPr>
              <w:t>. It is a quick, low-dose X-ray scan, usually of the hip and lower spine.</w:t>
            </w:r>
          </w:p>
          <w:p w14:paraId="2EAC7EFC" w14:textId="77777777" w:rsidR="00480733" w:rsidRDefault="00000000">
            <w:pPr>
              <w:spacing w:after="60" w:line="264" w:lineRule="auto"/>
            </w:pPr>
            <w:r>
              <w:rPr>
                <w:color w:val="14241E"/>
              </w:rPr>
              <w:t xml:space="preserve">It measures </w:t>
            </w:r>
            <w:r>
              <w:rPr>
                <w:b/>
                <w:bCs/>
                <w:color w:val="14241E"/>
              </w:rPr>
              <w:t>bone mineral density (BMD)</w:t>
            </w:r>
            <w:r>
              <w:rPr>
                <w:color w:val="14241E"/>
              </w:rPr>
              <w:t xml:space="preserve"> — how tightly packed the minerals (mainly calcium) are in the bone. More packing = stronger bone.</w:t>
            </w:r>
          </w:p>
          <w:p w14:paraId="2A90456B" w14:textId="77777777" w:rsidR="00480733" w:rsidRDefault="00000000">
            <w:pPr>
              <w:spacing w:line="264" w:lineRule="auto"/>
            </w:pPr>
            <w:r>
              <w:rPr>
                <w:color w:val="14241E"/>
              </w:rPr>
              <w:t xml:space="preserve">The raw BMD number is hard to interpret alone, so the scanner compares it with a reference population and reports the difference as a </w:t>
            </w:r>
            <w:r>
              <w:rPr>
                <w:b/>
                <w:bCs/>
                <w:color w:val="138059"/>
              </w:rPr>
              <w:t>T-score</w:t>
            </w:r>
            <w:r>
              <w:rPr>
                <w:color w:val="14241E"/>
              </w:rPr>
              <w:t xml:space="preserve"> and a </w:t>
            </w:r>
            <w:r>
              <w:rPr>
                <w:b/>
                <w:bCs/>
                <w:color w:val="6D28D9"/>
              </w:rPr>
              <w:t>Z-score</w:t>
            </w:r>
            <w:r>
              <w:rPr>
                <w:color w:val="14241E"/>
              </w:rPr>
              <w:t>.</w:t>
            </w:r>
          </w:p>
        </w:tc>
      </w:tr>
    </w:tbl>
    <w:p w14:paraId="226A3857" w14:textId="77777777" w:rsidR="00480733" w:rsidRDefault="00480733">
      <w:pPr>
        <w:spacing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31169EA9" w14:textId="77777777">
        <w:tblPrEx>
          <w:tblCellMar>
            <w:top w:w="0" w:type="dxa"/>
            <w:bottom w:w="0" w:type="dxa"/>
          </w:tblCellMar>
        </w:tblPrEx>
        <w:tc>
          <w:tcPr>
            <w:tcW w:w="9026" w:type="dxa"/>
            <w:tcBorders>
              <w:top w:val="single" w:sz="4" w:space="0" w:color="A7E6BD"/>
              <w:left w:val="single" w:sz="24" w:space="0" w:color="A7E6BD"/>
              <w:bottom w:val="single" w:sz="4" w:space="0" w:color="A7E6BD"/>
              <w:right w:val="single" w:sz="4" w:space="0" w:color="A7E6BD"/>
            </w:tcBorders>
            <w:shd w:val="clear" w:color="auto" w:fill="DCFCE7"/>
            <w:tcMar>
              <w:top w:w="140" w:type="dxa"/>
              <w:left w:w="200" w:type="dxa"/>
              <w:bottom w:w="140" w:type="dxa"/>
              <w:right w:w="200" w:type="dxa"/>
            </w:tcMar>
          </w:tcPr>
          <w:p w14:paraId="60003380" w14:textId="77777777" w:rsidR="00480733" w:rsidRDefault="00000000">
            <w:pPr>
              <w:spacing w:after="80"/>
            </w:pPr>
            <w:r>
              <w:rPr>
                <w:b/>
                <w:bCs/>
                <w:color w:val="138059"/>
                <w:sz w:val="21"/>
                <w:szCs w:val="21"/>
              </w:rPr>
              <w:t>📌 Key learning points</w:t>
            </w:r>
          </w:p>
          <w:p w14:paraId="02C4A3CC" w14:textId="77777777" w:rsidR="00480733" w:rsidRDefault="00000000">
            <w:pPr>
              <w:spacing w:after="60" w:line="264" w:lineRule="auto"/>
            </w:pPr>
            <w:r>
              <w:rPr>
                <w:color w:val="14241E"/>
              </w:rPr>
              <w:t>DXA measures bone mineral density (BMD) — bone strength, roughly.</w:t>
            </w:r>
          </w:p>
          <w:p w14:paraId="4CCC8AF9" w14:textId="77777777" w:rsidR="00480733" w:rsidRDefault="00000000">
            <w:pPr>
              <w:spacing w:after="60" w:line="264" w:lineRule="auto"/>
            </w:pPr>
            <w:r>
              <w:rPr>
                <w:color w:val="14241E"/>
              </w:rPr>
              <w:t>It reports two comparison scores from the same scan: a T-score and a Z-score.</w:t>
            </w:r>
          </w:p>
          <w:p w14:paraId="5DFC3F56" w14:textId="77777777" w:rsidR="00480733" w:rsidRDefault="00000000">
            <w:pPr>
              <w:spacing w:line="264" w:lineRule="auto"/>
            </w:pPr>
            <w:r>
              <w:rPr>
                <w:color w:val="14241E"/>
              </w:rPr>
              <w:t>Both are measured in “standard deviations” (steps away from an average) — see the curve below.</w:t>
            </w:r>
          </w:p>
        </w:tc>
      </w:tr>
    </w:tbl>
    <w:p w14:paraId="4BD179C2" w14:textId="77777777" w:rsidR="00480733" w:rsidRDefault="00000000">
      <w:pPr>
        <w:pStyle w:val="Heading2"/>
      </w:pPr>
      <w:r>
        <w:t>A standard deviation, in one picture</w:t>
      </w:r>
    </w:p>
    <w:p w14:paraId="3E38E271" w14:textId="77777777" w:rsidR="00480733" w:rsidRDefault="00000000">
      <w:pPr>
        <w:spacing w:after="120" w:line="276" w:lineRule="auto"/>
      </w:pPr>
      <w:r>
        <w:rPr>
          <w:sz w:val="21"/>
          <w:szCs w:val="21"/>
        </w:rPr>
        <w:t>Both scores are counted in “standard deviations” (SD). Think of an SD as one step away from the average. A score of 0 is bang on average; −1 is one step below; −2.5 is two-and-a-half steps below. The further left, the weaker the bone compared with the group.</w:t>
      </w:r>
    </w:p>
    <w:p w14:paraId="2753D029" w14:textId="77777777" w:rsidR="00480733" w:rsidRDefault="00000000">
      <w:pPr>
        <w:spacing w:before="80" w:after="120"/>
        <w:jc w:val="center"/>
      </w:pPr>
      <w:r>
        <w:rPr>
          <w:noProof/>
        </w:rPr>
        <w:drawing>
          <wp:inline distT="0" distB="0" distL="0" distR="0" wp14:anchorId="404ADF6C" wp14:editId="136A02C9">
            <wp:extent cx="6096000" cy="2162175"/>
            <wp:effectExtent l="0" t="0" r="0" b="0"/>
            <wp:docPr id="1" name="bell" descr="bell" title="b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6096000" cy="2162175"/>
                    </a:xfrm>
                    <a:prstGeom prst="rect">
                      <a:avLst/>
                    </a:prstGeom>
                  </pic:spPr>
                </pic:pic>
              </a:graphicData>
            </a:graphic>
          </wp:inline>
        </w:drawing>
      </w:r>
    </w:p>
    <w:p w14:paraId="556576D5" w14:textId="77777777" w:rsidR="00480733" w:rsidRDefault="00000000">
      <w:pPr>
        <w:spacing w:after="120" w:line="276" w:lineRule="auto"/>
      </w:pPr>
      <w:r>
        <w:rPr>
          <w:i/>
          <w:iCs/>
          <w:color w:val="3C5147"/>
          <w:sz w:val="18"/>
          <w:szCs w:val="18"/>
        </w:rPr>
        <w:t>Source: WHO diagnostic categories for BMD, as used by NICE CKS “Osteoporosis – prevention of fragility fractures.”</w:t>
      </w:r>
    </w:p>
    <w:p w14:paraId="3BCE495E" w14:textId="77777777" w:rsidR="00BE17AD" w:rsidRDefault="00BE17AD">
      <w:pPr>
        <w:rPr>
          <w:b/>
          <w:bCs/>
          <w:color w:val="0A4A38"/>
          <w:sz w:val="27"/>
          <w:szCs w:val="27"/>
        </w:rPr>
      </w:pPr>
      <w:r>
        <w:br w:type="page"/>
      </w:r>
    </w:p>
    <w:p w14:paraId="308C9D3A" w14:textId="14AC949F" w:rsidR="00480733" w:rsidRDefault="00000000">
      <w:pPr>
        <w:pStyle w:val="Heading1"/>
      </w:pPr>
      <w:proofErr w:type="gramStart"/>
      <w:r>
        <w:lastRenderedPageBreak/>
        <w:t>2  The</w:t>
      </w:r>
      <w:proofErr w:type="gramEnd"/>
      <w:r>
        <w:t xml:space="preserve"> T-score</w:t>
      </w:r>
      <w:r>
        <w:rPr>
          <w:color w:val="138059"/>
        </w:rPr>
        <w:t>: your patient versus a healthy 30-year-old</w:t>
      </w:r>
    </w:p>
    <w:p w14:paraId="1D78775D" w14:textId="77777777" w:rsidR="00480733" w:rsidRDefault="00000000">
      <w:pPr>
        <w:spacing w:after="120" w:line="276" w:lineRule="auto"/>
      </w:pPr>
      <w:r>
        <w:rPr>
          <w:sz w:val="21"/>
          <w:szCs w:val="21"/>
        </w:rPr>
        <w:t>Lead idea: the T-score asks one question — “How does this bone compare with bone at its lifetime best?” The reference is a healthy young adult of the same sex, around age 30, when bone is at peak strength.</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098DC9E7" w14:textId="77777777">
        <w:tblPrEx>
          <w:tblCellMar>
            <w:top w:w="0" w:type="dxa"/>
            <w:bottom w:w="0" w:type="dxa"/>
          </w:tblCellMar>
        </w:tblPrEx>
        <w:tc>
          <w:tcPr>
            <w:tcW w:w="9026" w:type="dxa"/>
            <w:tcBorders>
              <w:top w:val="single" w:sz="4" w:space="0" w:color="C9B8F2"/>
              <w:left w:val="single" w:sz="24" w:space="0" w:color="C9B8F2"/>
              <w:bottom w:val="single" w:sz="4" w:space="0" w:color="C9B8F2"/>
              <w:right w:val="single" w:sz="4" w:space="0" w:color="C9B8F2"/>
            </w:tcBorders>
            <w:shd w:val="clear" w:color="auto" w:fill="EDE7FB"/>
            <w:tcMar>
              <w:top w:w="140" w:type="dxa"/>
              <w:left w:w="200" w:type="dxa"/>
              <w:bottom w:w="140" w:type="dxa"/>
              <w:right w:w="200" w:type="dxa"/>
            </w:tcMar>
          </w:tcPr>
          <w:p w14:paraId="3187F497" w14:textId="77777777" w:rsidR="00480733" w:rsidRDefault="00000000">
            <w:pPr>
              <w:spacing w:after="80"/>
            </w:pPr>
            <w:r>
              <w:rPr>
                <w:b/>
                <w:bCs/>
                <w:color w:val="6D28D9"/>
                <w:sz w:val="21"/>
                <w:szCs w:val="21"/>
              </w:rPr>
              <w:t>🟣 Cross-cultural analogy</w:t>
            </w:r>
          </w:p>
          <w:p w14:paraId="47BF1B79" w14:textId="77777777" w:rsidR="00480733" w:rsidRDefault="00000000">
            <w:pPr>
              <w:spacing w:line="264" w:lineRule="auto"/>
            </w:pPr>
            <w:r>
              <w:rPr>
                <w:color w:val="14241E"/>
              </w:rPr>
              <w:t xml:space="preserve">Imagine grading a runner against the </w:t>
            </w:r>
            <w:proofErr w:type="gramStart"/>
            <w:r>
              <w:rPr>
                <w:b/>
                <w:bCs/>
                <w:color w:val="14241E"/>
              </w:rPr>
              <w:t>all-time record</w:t>
            </w:r>
            <w:proofErr w:type="gramEnd"/>
            <w:r>
              <w:rPr>
                <w:color w:val="14241E"/>
              </w:rPr>
              <w:t xml:space="preserve"> for their event. The T-score does the same: it grades today’s bone against the “personal best” a healthy 30-year-old would have. Falling well short of that record is what defines osteoporosis — regardless of how old the patient is now.</w:t>
            </w:r>
          </w:p>
        </w:tc>
      </w:tr>
      <w:tr w:rsidR="00480733" w14:paraId="5AF1CF26" w14:textId="77777777">
        <w:tblPrEx>
          <w:tblCellMar>
            <w:top w:w="0" w:type="dxa"/>
            <w:bottom w:w="0" w:type="dxa"/>
          </w:tblCellMar>
        </w:tblPrEx>
        <w:tc>
          <w:tcPr>
            <w:tcW w:w="9026" w:type="dxa"/>
            <w:tcBorders>
              <w:top w:val="single" w:sz="4" w:space="0" w:color="138059"/>
              <w:left w:val="single" w:sz="24" w:space="0" w:color="138059"/>
              <w:bottom w:val="single" w:sz="4" w:space="0" w:color="138059"/>
              <w:right w:val="single" w:sz="4" w:space="0" w:color="138059"/>
            </w:tcBorders>
            <w:shd w:val="clear" w:color="auto" w:fill="EDFAF5"/>
            <w:tcMar>
              <w:top w:w="140" w:type="dxa"/>
              <w:left w:w="200" w:type="dxa"/>
              <w:bottom w:w="140" w:type="dxa"/>
              <w:right w:w="200" w:type="dxa"/>
            </w:tcMar>
          </w:tcPr>
          <w:p w14:paraId="1F874756" w14:textId="77777777" w:rsidR="00480733" w:rsidRDefault="00000000">
            <w:pPr>
              <w:spacing w:after="80"/>
            </w:pPr>
            <w:r>
              <w:rPr>
                <w:b/>
                <w:bCs/>
                <w:color w:val="0A4A38"/>
                <w:sz w:val="21"/>
                <w:szCs w:val="21"/>
              </w:rPr>
              <w:t>🧠 Memory hook</w:t>
            </w:r>
          </w:p>
          <w:p w14:paraId="23C86C5C" w14:textId="77777777" w:rsidR="00480733" w:rsidRDefault="00000000">
            <w:pPr>
              <w:spacing w:line="264" w:lineRule="auto"/>
            </w:pPr>
            <w:r>
              <w:rPr>
                <w:b/>
                <w:bCs/>
                <w:color w:val="0A4A38"/>
              </w:rPr>
              <w:t>T = THIRTY.</w:t>
            </w:r>
            <w:r>
              <w:rPr>
                <w:color w:val="14241E"/>
              </w:rPr>
              <w:t xml:space="preserve">  The T-score compares your patient with a healthy adult of about thirty.</w:t>
            </w:r>
          </w:p>
        </w:tc>
      </w:tr>
    </w:tbl>
    <w:p w14:paraId="09A4DAD2" w14:textId="77777777" w:rsidR="00480733" w:rsidRDefault="00000000">
      <w:pPr>
        <w:pStyle w:val="Heading2"/>
      </w:pPr>
      <w:r>
        <w:t>The T-score scale — three colour-coded zones</w:t>
      </w:r>
    </w:p>
    <w:p w14:paraId="146B60FD" w14:textId="77777777" w:rsidR="00480733" w:rsidRDefault="00000000">
      <w:pPr>
        <w:spacing w:before="80" w:after="120"/>
        <w:jc w:val="center"/>
      </w:pPr>
      <w:r>
        <w:rPr>
          <w:noProof/>
        </w:rPr>
        <w:drawing>
          <wp:inline distT="0" distB="0" distL="0" distR="0" wp14:anchorId="64F9969C" wp14:editId="5613C459">
            <wp:extent cx="6096000" cy="2286000"/>
            <wp:effectExtent l="0" t="0" r="0" b="0"/>
            <wp:docPr id="465729311" name="ruler" descr="ruler" title="ru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6096000" cy="2286000"/>
                    </a:xfrm>
                    <a:prstGeom prst="rect">
                      <a:avLst/>
                    </a:prstGeom>
                  </pic:spPr>
                </pic:pic>
              </a:graphicData>
            </a:graphic>
          </wp:inline>
        </w:drawing>
      </w:r>
    </w:p>
    <w:p w14:paraId="76749450" w14:textId="77777777" w:rsidR="00480733" w:rsidRDefault="00000000">
      <w:pPr>
        <w:spacing w:after="120" w:line="276" w:lineRule="auto"/>
      </w:pPr>
      <w:r>
        <w:rPr>
          <w:sz w:val="21"/>
          <w:szCs w:val="21"/>
        </w:rPr>
        <w:t>These three bands are the World Health Organization (WHO) categories that NICE uses. Notice you only need two numbers — −1 and −2.5 — to place any T-score.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3600"/>
        <w:gridCol w:w="3026"/>
      </w:tblGrid>
      <w:tr w:rsidR="00480733" w14:paraId="4605D04E" w14:textId="77777777">
        <w:tblPrEx>
          <w:tblCellMar>
            <w:top w:w="0" w:type="dxa"/>
            <w:bottom w:w="0" w:type="dxa"/>
          </w:tblCellMar>
        </w:tblPrEx>
        <w:trPr>
          <w:tblHeader/>
        </w:trPr>
        <w:tc>
          <w:tcPr>
            <w:tcW w:w="2400" w:type="dxa"/>
            <w:tcBorders>
              <w:top w:val="single" w:sz="2" w:space="0" w:color="CFE9DF"/>
              <w:left w:val="single" w:sz="2" w:space="0" w:color="CFE9DF"/>
              <w:bottom w:val="single" w:sz="2" w:space="0" w:color="CFE9DF"/>
              <w:right w:val="single" w:sz="2" w:space="0" w:color="CFE9DF"/>
            </w:tcBorders>
            <w:shd w:val="clear" w:color="auto" w:fill="138059"/>
            <w:tcMar>
              <w:top w:w="90" w:type="dxa"/>
              <w:left w:w="130" w:type="dxa"/>
              <w:bottom w:w="90" w:type="dxa"/>
              <w:right w:w="130" w:type="dxa"/>
            </w:tcMar>
            <w:vAlign w:val="center"/>
          </w:tcPr>
          <w:p w14:paraId="716AA90F" w14:textId="77777777" w:rsidR="00480733" w:rsidRDefault="00000000">
            <w:r>
              <w:rPr>
                <w:b/>
                <w:bCs/>
                <w:color w:val="FFFFFF"/>
                <w:sz w:val="21"/>
                <w:szCs w:val="21"/>
              </w:rPr>
              <w:t>T-score</w:t>
            </w:r>
          </w:p>
        </w:tc>
        <w:tc>
          <w:tcPr>
            <w:tcW w:w="3600" w:type="dxa"/>
            <w:tcBorders>
              <w:top w:val="single" w:sz="2" w:space="0" w:color="CFE9DF"/>
              <w:left w:val="single" w:sz="2" w:space="0" w:color="CFE9DF"/>
              <w:bottom w:val="single" w:sz="2" w:space="0" w:color="CFE9DF"/>
              <w:right w:val="single" w:sz="2" w:space="0" w:color="CFE9DF"/>
            </w:tcBorders>
            <w:shd w:val="clear" w:color="auto" w:fill="138059"/>
            <w:tcMar>
              <w:top w:w="90" w:type="dxa"/>
              <w:left w:w="130" w:type="dxa"/>
              <w:bottom w:w="90" w:type="dxa"/>
              <w:right w:w="130" w:type="dxa"/>
            </w:tcMar>
            <w:vAlign w:val="center"/>
          </w:tcPr>
          <w:p w14:paraId="23E4A926" w14:textId="77777777" w:rsidR="00480733" w:rsidRDefault="00000000">
            <w:r>
              <w:rPr>
                <w:b/>
                <w:bCs/>
                <w:color w:val="FFFFFF"/>
                <w:sz w:val="21"/>
                <w:szCs w:val="21"/>
              </w:rPr>
              <w:t>What it means</w:t>
            </w:r>
          </w:p>
        </w:tc>
        <w:tc>
          <w:tcPr>
            <w:tcW w:w="3026" w:type="dxa"/>
            <w:tcBorders>
              <w:top w:val="single" w:sz="2" w:space="0" w:color="CFE9DF"/>
              <w:left w:val="single" w:sz="2" w:space="0" w:color="CFE9DF"/>
              <w:bottom w:val="single" w:sz="2" w:space="0" w:color="CFE9DF"/>
              <w:right w:val="single" w:sz="2" w:space="0" w:color="CFE9DF"/>
            </w:tcBorders>
            <w:shd w:val="clear" w:color="auto" w:fill="138059"/>
            <w:tcMar>
              <w:top w:w="90" w:type="dxa"/>
              <w:left w:w="130" w:type="dxa"/>
              <w:bottom w:w="90" w:type="dxa"/>
              <w:right w:w="130" w:type="dxa"/>
            </w:tcMar>
            <w:vAlign w:val="center"/>
          </w:tcPr>
          <w:p w14:paraId="1639E4A8" w14:textId="77777777" w:rsidR="00480733" w:rsidRDefault="00000000">
            <w:r>
              <w:rPr>
                <w:b/>
                <w:bCs/>
                <w:color w:val="FFFFFF"/>
                <w:sz w:val="21"/>
                <w:szCs w:val="21"/>
              </w:rPr>
              <w:t>Plain English</w:t>
            </w:r>
          </w:p>
        </w:tc>
      </w:tr>
      <w:tr w:rsidR="00480733" w14:paraId="32F518BB" w14:textId="77777777">
        <w:tblPrEx>
          <w:tblCellMar>
            <w:top w:w="0" w:type="dxa"/>
            <w:bottom w:w="0" w:type="dxa"/>
          </w:tblCellMar>
        </w:tblPrEx>
        <w:tc>
          <w:tcPr>
            <w:tcW w:w="2400"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681520EB" w14:textId="77777777" w:rsidR="00480733" w:rsidRDefault="00000000">
            <w:pPr>
              <w:spacing w:line="260" w:lineRule="auto"/>
            </w:pPr>
            <w:r>
              <w:rPr>
                <w:b/>
                <w:bCs/>
                <w:color w:val="16A34A"/>
                <w:sz w:val="20"/>
                <w:szCs w:val="20"/>
              </w:rPr>
              <w:t>−1.0 or higher</w:t>
            </w:r>
          </w:p>
        </w:tc>
        <w:tc>
          <w:tcPr>
            <w:tcW w:w="3600"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0D9CB662" w14:textId="77777777" w:rsidR="00480733" w:rsidRDefault="00000000">
            <w:pPr>
              <w:spacing w:line="260" w:lineRule="auto"/>
            </w:pPr>
            <w:r>
              <w:rPr>
                <w:sz w:val="20"/>
                <w:szCs w:val="20"/>
              </w:rPr>
              <w:t>Normal bone density</w:t>
            </w:r>
          </w:p>
        </w:tc>
        <w:tc>
          <w:tcPr>
            <w:tcW w:w="3026"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500D8D5D" w14:textId="77777777" w:rsidR="00480733" w:rsidRDefault="00000000">
            <w:pPr>
              <w:spacing w:line="260" w:lineRule="auto"/>
            </w:pPr>
            <w:r>
              <w:rPr>
                <w:sz w:val="20"/>
                <w:szCs w:val="20"/>
              </w:rPr>
              <w:t>Bone is healthy.</w:t>
            </w:r>
          </w:p>
        </w:tc>
      </w:tr>
      <w:tr w:rsidR="00480733" w14:paraId="15C2012E" w14:textId="77777777">
        <w:tblPrEx>
          <w:tblCellMar>
            <w:top w:w="0" w:type="dxa"/>
            <w:bottom w:w="0" w:type="dxa"/>
          </w:tblCellMar>
        </w:tblPrEx>
        <w:tc>
          <w:tcPr>
            <w:tcW w:w="2400"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7FC27FA4" w14:textId="77777777" w:rsidR="00480733" w:rsidRDefault="00000000">
            <w:pPr>
              <w:spacing w:line="260" w:lineRule="auto"/>
            </w:pPr>
            <w:r>
              <w:rPr>
                <w:b/>
                <w:bCs/>
                <w:color w:val="B45309"/>
                <w:sz w:val="20"/>
                <w:szCs w:val="20"/>
              </w:rPr>
              <w:t>−1.0 to −2.5</w:t>
            </w:r>
          </w:p>
        </w:tc>
        <w:tc>
          <w:tcPr>
            <w:tcW w:w="3600"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63A7C23E" w14:textId="77777777" w:rsidR="00480733" w:rsidRDefault="00000000">
            <w:pPr>
              <w:spacing w:line="260" w:lineRule="auto"/>
            </w:pPr>
            <w:r>
              <w:rPr>
                <w:b/>
                <w:bCs/>
                <w:sz w:val="20"/>
                <w:szCs w:val="20"/>
              </w:rPr>
              <w:t>Osteopenia</w:t>
            </w:r>
            <w:r>
              <w:rPr>
                <w:sz w:val="20"/>
                <w:szCs w:val="20"/>
              </w:rPr>
              <w:t xml:space="preserve"> (low bone mass)</w:t>
            </w:r>
          </w:p>
        </w:tc>
        <w:tc>
          <w:tcPr>
            <w:tcW w:w="3026"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35D3B48B" w14:textId="77777777" w:rsidR="00480733" w:rsidRDefault="00000000">
            <w:pPr>
              <w:spacing w:line="260" w:lineRule="auto"/>
            </w:pPr>
            <w:r>
              <w:rPr>
                <w:sz w:val="20"/>
                <w:szCs w:val="20"/>
              </w:rPr>
              <w:t>Thinner than ideal — a warning zone.</w:t>
            </w:r>
          </w:p>
        </w:tc>
      </w:tr>
      <w:tr w:rsidR="00480733" w14:paraId="11053969" w14:textId="77777777">
        <w:tblPrEx>
          <w:tblCellMar>
            <w:top w:w="0" w:type="dxa"/>
            <w:bottom w:w="0" w:type="dxa"/>
          </w:tblCellMar>
        </w:tblPrEx>
        <w:tc>
          <w:tcPr>
            <w:tcW w:w="2400"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4EB3FC87" w14:textId="77777777" w:rsidR="00480733" w:rsidRDefault="00000000">
            <w:pPr>
              <w:spacing w:line="260" w:lineRule="auto"/>
            </w:pPr>
            <w:r>
              <w:rPr>
                <w:b/>
                <w:bCs/>
                <w:color w:val="B91C1C"/>
                <w:sz w:val="20"/>
                <w:szCs w:val="20"/>
              </w:rPr>
              <w:t>−2.5 or lower</w:t>
            </w:r>
          </w:p>
        </w:tc>
        <w:tc>
          <w:tcPr>
            <w:tcW w:w="3600"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69EBB76F" w14:textId="77777777" w:rsidR="00480733" w:rsidRDefault="00000000">
            <w:pPr>
              <w:spacing w:line="260" w:lineRule="auto"/>
            </w:pPr>
            <w:r>
              <w:rPr>
                <w:b/>
                <w:bCs/>
                <w:sz w:val="20"/>
                <w:szCs w:val="20"/>
              </w:rPr>
              <w:t>Osteoporosis</w:t>
            </w:r>
          </w:p>
        </w:tc>
        <w:tc>
          <w:tcPr>
            <w:tcW w:w="3026"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12E908D9" w14:textId="77777777" w:rsidR="00480733" w:rsidRDefault="00000000">
            <w:pPr>
              <w:spacing w:line="260" w:lineRule="auto"/>
            </w:pPr>
            <w:r>
              <w:rPr>
                <w:sz w:val="20"/>
                <w:szCs w:val="20"/>
              </w:rPr>
              <w:t>Fragile bone — higher fracture risk.</w:t>
            </w:r>
          </w:p>
        </w:tc>
      </w:tr>
      <w:tr w:rsidR="00480733" w14:paraId="5B5D4CE2" w14:textId="77777777">
        <w:tblPrEx>
          <w:tblCellMar>
            <w:top w:w="0" w:type="dxa"/>
            <w:bottom w:w="0" w:type="dxa"/>
          </w:tblCellMar>
        </w:tblPrEx>
        <w:tc>
          <w:tcPr>
            <w:tcW w:w="2400"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10783D0D" w14:textId="77777777" w:rsidR="00480733" w:rsidRDefault="00000000">
            <w:pPr>
              <w:spacing w:line="260" w:lineRule="auto"/>
            </w:pPr>
            <w:r>
              <w:rPr>
                <w:b/>
                <w:bCs/>
                <w:color w:val="B91C1C"/>
                <w:sz w:val="20"/>
                <w:szCs w:val="20"/>
              </w:rPr>
              <w:t>−2.5 or lower + a fragility fracture</w:t>
            </w:r>
          </w:p>
        </w:tc>
        <w:tc>
          <w:tcPr>
            <w:tcW w:w="3600"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6FCACF45" w14:textId="77777777" w:rsidR="00480733" w:rsidRDefault="00000000">
            <w:pPr>
              <w:spacing w:line="260" w:lineRule="auto"/>
            </w:pPr>
            <w:r>
              <w:rPr>
                <w:b/>
                <w:bCs/>
                <w:sz w:val="20"/>
                <w:szCs w:val="20"/>
              </w:rPr>
              <w:t>Severe (established) osteoporosis</w:t>
            </w:r>
          </w:p>
        </w:tc>
        <w:tc>
          <w:tcPr>
            <w:tcW w:w="3026"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527E8912" w14:textId="77777777" w:rsidR="00480733" w:rsidRDefault="00000000">
            <w:pPr>
              <w:spacing w:line="260" w:lineRule="auto"/>
            </w:pPr>
            <w:r>
              <w:rPr>
                <w:sz w:val="20"/>
                <w:szCs w:val="20"/>
              </w:rPr>
              <w:t>Fragile bone that has already broken.</w:t>
            </w:r>
          </w:p>
        </w:tc>
      </w:tr>
    </w:tbl>
    <w:p w14:paraId="255B4FAC" w14:textId="77777777" w:rsidR="00480733" w:rsidRDefault="00000000">
      <w:pPr>
        <w:spacing w:after="120" w:line="276" w:lineRule="auto"/>
      </w:pPr>
      <w:r>
        <w:rPr>
          <w:i/>
          <w:iCs/>
          <w:color w:val="3C5147"/>
          <w:sz w:val="18"/>
          <w:szCs w:val="18"/>
        </w:rPr>
        <w:t>Source: WHO BMD classification, as applied in NICE CKS “Osteoporosis – prevention of fragility fractures.” A fragility fracture is one from a fall at standing height or less.</w:t>
      </w:r>
    </w:p>
    <w:p w14:paraId="3B0C3D98" w14:textId="77777777" w:rsidR="00480733" w:rsidRDefault="00480733">
      <w:pPr>
        <w:spacing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4688420D" w14:textId="77777777">
        <w:tblPrEx>
          <w:tblCellMar>
            <w:top w:w="0" w:type="dxa"/>
            <w:bottom w:w="0" w:type="dxa"/>
          </w:tblCellMar>
        </w:tblPrEx>
        <w:tc>
          <w:tcPr>
            <w:tcW w:w="9026" w:type="dxa"/>
            <w:tcBorders>
              <w:top w:val="single" w:sz="4" w:space="0" w:color="A7E6BD"/>
              <w:left w:val="single" w:sz="24" w:space="0" w:color="A7E6BD"/>
              <w:bottom w:val="single" w:sz="4" w:space="0" w:color="A7E6BD"/>
              <w:right w:val="single" w:sz="4" w:space="0" w:color="A7E6BD"/>
            </w:tcBorders>
            <w:shd w:val="clear" w:color="auto" w:fill="DCFCE7"/>
            <w:tcMar>
              <w:top w:w="140" w:type="dxa"/>
              <w:left w:w="200" w:type="dxa"/>
              <w:bottom w:w="140" w:type="dxa"/>
              <w:right w:w="200" w:type="dxa"/>
            </w:tcMar>
          </w:tcPr>
          <w:p w14:paraId="5FA3CE54" w14:textId="77777777" w:rsidR="00480733" w:rsidRDefault="00000000">
            <w:pPr>
              <w:spacing w:after="80"/>
            </w:pPr>
            <w:r>
              <w:rPr>
                <w:b/>
                <w:bCs/>
                <w:color w:val="138059"/>
                <w:sz w:val="21"/>
                <w:szCs w:val="21"/>
              </w:rPr>
              <w:t>📌 Key learning points</w:t>
            </w:r>
          </w:p>
          <w:p w14:paraId="2A2F4BC0" w14:textId="77777777" w:rsidR="00480733" w:rsidRDefault="00000000">
            <w:pPr>
              <w:spacing w:after="60" w:line="264" w:lineRule="auto"/>
            </w:pPr>
            <w:r>
              <w:rPr>
                <w:color w:val="14241E"/>
              </w:rPr>
              <w:t>The T-score is the number used to DIAGNOSE osteoporosis.</w:t>
            </w:r>
          </w:p>
          <w:p w14:paraId="7379D96B" w14:textId="77777777" w:rsidR="00480733" w:rsidRDefault="00000000">
            <w:pPr>
              <w:spacing w:after="60" w:line="264" w:lineRule="auto"/>
            </w:pPr>
            <w:r>
              <w:rPr>
                <w:color w:val="14241E"/>
              </w:rPr>
              <w:t>Normal ≥ −1.</w:t>
            </w:r>
            <w:proofErr w:type="gramStart"/>
            <w:r>
              <w:rPr>
                <w:color w:val="14241E"/>
              </w:rPr>
              <w:t>0  ·</w:t>
            </w:r>
            <w:proofErr w:type="gramEnd"/>
            <w:r>
              <w:rPr>
                <w:color w:val="14241E"/>
              </w:rPr>
              <w:t xml:space="preserve">  Osteopenia −1.0 to −2.</w:t>
            </w:r>
            <w:proofErr w:type="gramStart"/>
            <w:r>
              <w:rPr>
                <w:color w:val="14241E"/>
              </w:rPr>
              <w:t>5  ·</w:t>
            </w:r>
            <w:proofErr w:type="gramEnd"/>
            <w:r>
              <w:rPr>
                <w:color w:val="14241E"/>
              </w:rPr>
              <w:t xml:space="preserve">  Osteoporosis ≤ −2.5.</w:t>
            </w:r>
          </w:p>
          <w:p w14:paraId="2496C174" w14:textId="77777777" w:rsidR="00480733" w:rsidRDefault="00000000">
            <w:pPr>
              <w:spacing w:line="264" w:lineRule="auto"/>
            </w:pPr>
            <w:r>
              <w:rPr>
                <w:color w:val="14241E"/>
              </w:rPr>
              <w:t>≤ −2.5 plus a fragility fracture = severe (established) osteoporosis.</w:t>
            </w:r>
          </w:p>
        </w:tc>
      </w:tr>
    </w:tbl>
    <w:p w14:paraId="745ACE6D" w14:textId="77777777" w:rsidR="00480733" w:rsidRDefault="00000000">
      <w:pPr>
        <w:pStyle w:val="Heading1"/>
      </w:pPr>
      <w:proofErr w:type="gramStart"/>
      <w:r>
        <w:lastRenderedPageBreak/>
        <w:t>3  The</w:t>
      </w:r>
      <w:proofErr w:type="gramEnd"/>
      <w:r>
        <w:t xml:space="preserve"> Z-score</w:t>
      </w:r>
      <w:r>
        <w:rPr>
          <w:color w:val="138059"/>
        </w:rPr>
        <w:t>: your patient versus their own age group</w:t>
      </w:r>
    </w:p>
    <w:p w14:paraId="5AAE2667" w14:textId="77777777" w:rsidR="00480733" w:rsidRDefault="00000000">
      <w:pPr>
        <w:spacing w:after="120" w:line="276" w:lineRule="auto"/>
      </w:pPr>
      <w:r>
        <w:rPr>
          <w:sz w:val="21"/>
          <w:szCs w:val="21"/>
        </w:rPr>
        <w:t>Lead idea: the Z-score asks a different question — “Is this bone weaker than I would expect for someone this age and sex?” The reference here is people the same age, sex and (usually) ethnicity as your patient.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649319E5" w14:textId="77777777">
        <w:tblPrEx>
          <w:tblCellMar>
            <w:top w:w="0" w:type="dxa"/>
            <w:bottom w:w="0" w:type="dxa"/>
          </w:tblCellMar>
        </w:tblPrEx>
        <w:tc>
          <w:tcPr>
            <w:tcW w:w="9026" w:type="dxa"/>
            <w:tcBorders>
              <w:top w:val="single" w:sz="4" w:space="0" w:color="C9B8F2"/>
              <w:left w:val="single" w:sz="24" w:space="0" w:color="C9B8F2"/>
              <w:bottom w:val="single" w:sz="4" w:space="0" w:color="C9B8F2"/>
              <w:right w:val="single" w:sz="4" w:space="0" w:color="C9B8F2"/>
            </w:tcBorders>
            <w:shd w:val="clear" w:color="auto" w:fill="EDE7FB"/>
            <w:tcMar>
              <w:top w:w="140" w:type="dxa"/>
              <w:left w:w="200" w:type="dxa"/>
              <w:bottom w:w="140" w:type="dxa"/>
              <w:right w:w="200" w:type="dxa"/>
            </w:tcMar>
          </w:tcPr>
          <w:p w14:paraId="66043287" w14:textId="77777777" w:rsidR="00480733" w:rsidRDefault="00000000">
            <w:pPr>
              <w:spacing w:after="80"/>
            </w:pPr>
            <w:r>
              <w:rPr>
                <w:b/>
                <w:bCs/>
                <w:color w:val="6D28D9"/>
                <w:sz w:val="21"/>
                <w:szCs w:val="21"/>
              </w:rPr>
              <w:t>🟣 Cross-cultural analogy</w:t>
            </w:r>
          </w:p>
          <w:p w14:paraId="4A136193" w14:textId="77777777" w:rsidR="00480733" w:rsidRDefault="00000000">
            <w:pPr>
              <w:spacing w:line="264" w:lineRule="auto"/>
            </w:pPr>
            <w:r>
              <w:rPr>
                <w:color w:val="14241E"/>
              </w:rPr>
              <w:t xml:space="preserve">Think of a school report that compares a child only with </w:t>
            </w:r>
            <w:r>
              <w:rPr>
                <w:b/>
                <w:bCs/>
                <w:color w:val="14241E"/>
              </w:rPr>
              <w:t>their own classmates</w:t>
            </w:r>
            <w:r>
              <w:rPr>
                <w:i/>
                <w:iCs/>
                <w:color w:val="14241E"/>
              </w:rPr>
              <w:t xml:space="preserve">, not with the cleverest pupil in the school’s history. If a child is far below their classmates, the teacher </w:t>
            </w:r>
            <w:proofErr w:type="gramStart"/>
            <w:r>
              <w:rPr>
                <w:i/>
                <w:iCs/>
                <w:color w:val="14241E"/>
              </w:rPr>
              <w:t>asks</w:t>
            </w:r>
            <w:proofErr w:type="gramEnd"/>
            <w:r>
              <w:rPr>
                <w:i/>
                <w:iCs/>
                <w:color w:val="14241E"/>
              </w:rPr>
              <w:t xml:space="preserve"> “why is this one different?”</w:t>
            </w:r>
            <w:r>
              <w:rPr>
                <w:color w:val="14241E"/>
              </w:rPr>
              <w:t xml:space="preserve"> The Z-score works the same way: a low Z-score </w:t>
            </w:r>
            <w:proofErr w:type="gramStart"/>
            <w:r>
              <w:rPr>
                <w:color w:val="14241E"/>
              </w:rPr>
              <w:t>says</w:t>
            </w:r>
            <w:proofErr w:type="gramEnd"/>
            <w:r>
              <w:rPr>
                <w:color w:val="14241E"/>
              </w:rPr>
              <w:t xml:space="preserve"> </w:t>
            </w:r>
            <w:r>
              <w:rPr>
                <w:b/>
                <w:bCs/>
                <w:color w:val="14241E"/>
              </w:rPr>
              <w:t>“this is unusual for the age — look for a reason.”</w:t>
            </w:r>
          </w:p>
        </w:tc>
      </w:tr>
      <w:tr w:rsidR="00480733" w14:paraId="527D1720" w14:textId="77777777">
        <w:tblPrEx>
          <w:tblCellMar>
            <w:top w:w="0" w:type="dxa"/>
            <w:bottom w:w="0" w:type="dxa"/>
          </w:tblCellMar>
        </w:tblPrEx>
        <w:tc>
          <w:tcPr>
            <w:tcW w:w="9026" w:type="dxa"/>
            <w:tcBorders>
              <w:top w:val="single" w:sz="4" w:space="0" w:color="6D28D9"/>
              <w:left w:val="single" w:sz="24" w:space="0" w:color="6D28D9"/>
              <w:bottom w:val="single" w:sz="4" w:space="0" w:color="6D28D9"/>
              <w:right w:val="single" w:sz="4" w:space="0" w:color="6D28D9"/>
            </w:tcBorders>
            <w:shd w:val="clear" w:color="auto" w:fill="EDFAF5"/>
            <w:tcMar>
              <w:top w:w="140" w:type="dxa"/>
              <w:left w:w="200" w:type="dxa"/>
              <w:bottom w:w="140" w:type="dxa"/>
              <w:right w:w="200" w:type="dxa"/>
            </w:tcMar>
          </w:tcPr>
          <w:p w14:paraId="7A5549B1" w14:textId="77777777" w:rsidR="00480733" w:rsidRDefault="00000000">
            <w:pPr>
              <w:spacing w:after="80"/>
            </w:pPr>
            <w:r>
              <w:rPr>
                <w:b/>
                <w:bCs/>
                <w:color w:val="0A4A38"/>
                <w:sz w:val="21"/>
                <w:szCs w:val="21"/>
              </w:rPr>
              <w:t>🧠 Memory hook</w:t>
            </w:r>
          </w:p>
          <w:p w14:paraId="34F913E5" w14:textId="77777777" w:rsidR="00480733" w:rsidRDefault="00000000">
            <w:pPr>
              <w:spacing w:line="264" w:lineRule="auto"/>
            </w:pPr>
            <w:r>
              <w:rPr>
                <w:b/>
                <w:bCs/>
                <w:color w:val="6D28D9"/>
              </w:rPr>
              <w:t xml:space="preserve">Z = your own </w:t>
            </w:r>
            <w:proofErr w:type="spellStart"/>
            <w:r>
              <w:rPr>
                <w:b/>
                <w:bCs/>
                <w:color w:val="6D28D9"/>
              </w:rPr>
              <w:t>aZe</w:t>
            </w:r>
            <w:proofErr w:type="spellEnd"/>
            <w:r>
              <w:rPr>
                <w:b/>
                <w:bCs/>
                <w:color w:val="6D28D9"/>
              </w:rPr>
              <w:t xml:space="preserve"> (age).</w:t>
            </w:r>
            <w:r>
              <w:rPr>
                <w:color w:val="14241E"/>
              </w:rPr>
              <w:t xml:space="preserve">  The Z-score compares your patient with people their own age.</w:t>
            </w:r>
          </w:p>
        </w:tc>
      </w:tr>
      <w:tr w:rsidR="00480733" w14:paraId="4592238B" w14:textId="77777777">
        <w:tblPrEx>
          <w:tblCellMar>
            <w:top w:w="0" w:type="dxa"/>
            <w:bottom w:w="0" w:type="dxa"/>
          </w:tblCellMar>
        </w:tblPrEx>
        <w:tc>
          <w:tcPr>
            <w:tcW w:w="9026" w:type="dxa"/>
            <w:tcBorders>
              <w:top w:val="single" w:sz="4" w:space="0" w:color="FCD34D"/>
              <w:left w:val="single" w:sz="24" w:space="0" w:color="FCD34D"/>
              <w:bottom w:val="single" w:sz="4" w:space="0" w:color="FCD34D"/>
              <w:right w:val="single" w:sz="4" w:space="0" w:color="FCD34D"/>
            </w:tcBorders>
            <w:shd w:val="clear" w:color="auto" w:fill="FEF3C7"/>
            <w:tcMar>
              <w:top w:w="140" w:type="dxa"/>
              <w:left w:w="200" w:type="dxa"/>
              <w:bottom w:w="140" w:type="dxa"/>
              <w:right w:w="200" w:type="dxa"/>
            </w:tcMar>
          </w:tcPr>
          <w:p w14:paraId="23ED05C9" w14:textId="77777777" w:rsidR="00480733" w:rsidRDefault="00000000">
            <w:pPr>
              <w:spacing w:after="80"/>
            </w:pPr>
            <w:r>
              <w:rPr>
                <w:b/>
                <w:bCs/>
                <w:color w:val="B45309"/>
                <w:sz w:val="21"/>
                <w:szCs w:val="21"/>
              </w:rPr>
              <w:t>⚠️ Why a low Z-score matters</w:t>
            </w:r>
          </w:p>
          <w:p w14:paraId="5703BDB8" w14:textId="77777777" w:rsidR="00480733" w:rsidRDefault="00000000">
            <w:pPr>
              <w:spacing w:line="264" w:lineRule="auto"/>
            </w:pPr>
            <w:r>
              <w:rPr>
                <w:color w:val="14241E"/>
              </w:rPr>
              <w:t xml:space="preserve">A Z-score of </w:t>
            </w:r>
            <w:r>
              <w:rPr>
                <w:b/>
                <w:bCs/>
                <w:color w:val="B45309"/>
              </w:rPr>
              <w:t>−2.0 or lower</w:t>
            </w:r>
            <w:r>
              <w:rPr>
                <w:color w:val="14241E"/>
              </w:rPr>
              <w:t xml:space="preserve"> is described as “below the expected range for age.” It does not diagnose osteoporosis — instead it is a flag to look for a </w:t>
            </w:r>
            <w:r>
              <w:rPr>
                <w:b/>
                <w:bCs/>
                <w:color w:val="14241E"/>
              </w:rPr>
              <w:t>secondary cause</w:t>
            </w:r>
            <w:r>
              <w:rPr>
                <w:color w:val="14241E"/>
              </w:rPr>
              <w:t xml:space="preserve"> of bone loss, such as steroid use, early menopause, coeliac disease, hyperthyroidism, hyperparathyroidism, chronic kidney disease, myeloma or excess alcohol.</w:t>
            </w:r>
          </w:p>
        </w:tc>
      </w:tr>
    </w:tbl>
    <w:p w14:paraId="126A7453" w14:textId="77777777" w:rsidR="00480733" w:rsidRDefault="00000000">
      <w:pPr>
        <w:spacing w:after="120" w:line="276" w:lineRule="auto"/>
      </w:pPr>
      <w:r>
        <w:rPr>
          <w:i/>
          <w:iCs/>
          <w:color w:val="3C5147"/>
          <w:sz w:val="18"/>
          <w:szCs w:val="18"/>
        </w:rPr>
        <w:t>Source: WHO / ISCD position that a Z-score ≤ −2.0 is “below the expected range for age,” consistent with NICE CKS guidance to consider underlying causes in younger patients.</w:t>
      </w:r>
    </w:p>
    <w:p w14:paraId="18FD4C0D" w14:textId="77777777" w:rsidR="00480733" w:rsidRDefault="00480733">
      <w:pPr>
        <w:spacing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4073CC68" w14:textId="77777777">
        <w:tblPrEx>
          <w:tblCellMar>
            <w:top w:w="0" w:type="dxa"/>
            <w:bottom w:w="0" w:type="dxa"/>
          </w:tblCellMar>
        </w:tblPrEx>
        <w:tc>
          <w:tcPr>
            <w:tcW w:w="9026" w:type="dxa"/>
            <w:tcBorders>
              <w:top w:val="single" w:sz="4" w:space="0" w:color="A7E6BD"/>
              <w:left w:val="single" w:sz="24" w:space="0" w:color="A7E6BD"/>
              <w:bottom w:val="single" w:sz="4" w:space="0" w:color="A7E6BD"/>
              <w:right w:val="single" w:sz="4" w:space="0" w:color="A7E6BD"/>
            </w:tcBorders>
            <w:shd w:val="clear" w:color="auto" w:fill="DCFCE7"/>
            <w:tcMar>
              <w:top w:w="140" w:type="dxa"/>
              <w:left w:w="200" w:type="dxa"/>
              <w:bottom w:w="140" w:type="dxa"/>
              <w:right w:w="200" w:type="dxa"/>
            </w:tcMar>
          </w:tcPr>
          <w:p w14:paraId="485B5588" w14:textId="77777777" w:rsidR="00480733" w:rsidRDefault="00000000">
            <w:pPr>
              <w:spacing w:after="80"/>
            </w:pPr>
            <w:r>
              <w:rPr>
                <w:b/>
                <w:bCs/>
                <w:color w:val="138059"/>
                <w:sz w:val="21"/>
                <w:szCs w:val="21"/>
              </w:rPr>
              <w:t>📌 Key learning points</w:t>
            </w:r>
          </w:p>
          <w:p w14:paraId="72ED0ED5" w14:textId="77777777" w:rsidR="00480733" w:rsidRDefault="00000000">
            <w:pPr>
              <w:spacing w:after="60" w:line="264" w:lineRule="auto"/>
            </w:pPr>
            <w:r>
              <w:rPr>
                <w:color w:val="14241E"/>
              </w:rPr>
              <w:t>The Z-score is age-matched — it asks whether bone loss is more than expected for that age.</w:t>
            </w:r>
          </w:p>
          <w:p w14:paraId="0B5EE5B6" w14:textId="77777777" w:rsidR="00480733" w:rsidRDefault="00000000">
            <w:pPr>
              <w:spacing w:after="60" w:line="264" w:lineRule="auto"/>
            </w:pPr>
            <w:r>
              <w:rPr>
                <w:color w:val="14241E"/>
              </w:rPr>
              <w:t>Z ≤ −2.0 = “below the expected range for age” → hunt for a secondary cause.</w:t>
            </w:r>
          </w:p>
          <w:p w14:paraId="529F32FC" w14:textId="77777777" w:rsidR="00480733" w:rsidRDefault="00000000">
            <w:pPr>
              <w:spacing w:line="264" w:lineRule="auto"/>
            </w:pPr>
            <w:r>
              <w:rPr>
                <w:color w:val="14241E"/>
              </w:rPr>
              <w:t>The Z-score INVESTIGATES; it does not, by itself, diagnose osteoporosis.</w:t>
            </w:r>
          </w:p>
        </w:tc>
      </w:tr>
    </w:tbl>
    <w:p w14:paraId="2A6EC9CD" w14:textId="77777777" w:rsidR="00BE17AD" w:rsidRDefault="00BE17AD">
      <w:pPr>
        <w:pStyle w:val="Heading1"/>
      </w:pPr>
    </w:p>
    <w:p w14:paraId="00F74C66" w14:textId="77777777" w:rsidR="00BE17AD" w:rsidRDefault="00BE17AD">
      <w:pPr>
        <w:rPr>
          <w:b/>
          <w:bCs/>
          <w:color w:val="0A4A38"/>
          <w:sz w:val="27"/>
          <w:szCs w:val="27"/>
        </w:rPr>
      </w:pPr>
      <w:r>
        <w:br w:type="page"/>
      </w:r>
    </w:p>
    <w:p w14:paraId="357589F9" w14:textId="7740833A" w:rsidR="00480733" w:rsidRDefault="00000000">
      <w:pPr>
        <w:pStyle w:val="Heading1"/>
      </w:pPr>
      <w:proofErr w:type="gramStart"/>
      <w:r>
        <w:lastRenderedPageBreak/>
        <w:t>4  T</w:t>
      </w:r>
      <w:proofErr w:type="gramEnd"/>
      <w:r>
        <w:t xml:space="preserve"> versus Z</w:t>
      </w:r>
      <w:r>
        <w:rPr>
          <w:color w:val="138059"/>
        </w:rPr>
        <w:t>: same scan, two different comparisons</w:t>
      </w:r>
    </w:p>
    <w:p w14:paraId="793AE747" w14:textId="77777777" w:rsidR="00480733" w:rsidRDefault="00000000">
      <w:pPr>
        <w:spacing w:before="80" w:after="120"/>
        <w:jc w:val="center"/>
      </w:pPr>
      <w:r>
        <w:rPr>
          <w:noProof/>
        </w:rPr>
        <w:drawing>
          <wp:inline distT="0" distB="0" distL="0" distR="0" wp14:anchorId="4F6076D4" wp14:editId="42BB7D74">
            <wp:extent cx="6096000" cy="2790825"/>
            <wp:effectExtent l="0" t="0" r="0" b="0"/>
            <wp:docPr id="1556394719" name="tvz" descr="tvz" title="tv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6096000" cy="2790825"/>
                    </a:xfrm>
                    <a:prstGeom prst="rect">
                      <a:avLst/>
                    </a:prstGeom>
                  </pic:spPr>
                </pic:pic>
              </a:graphicData>
            </a:graphic>
          </wp:inline>
        </w:drawing>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3513"/>
        <w:gridCol w:w="3513"/>
      </w:tblGrid>
      <w:tr w:rsidR="00480733" w14:paraId="2845A54E" w14:textId="77777777">
        <w:tblPrEx>
          <w:tblCellMar>
            <w:top w:w="0" w:type="dxa"/>
            <w:bottom w:w="0" w:type="dxa"/>
          </w:tblCellMar>
        </w:tblPrEx>
        <w:trPr>
          <w:tblHeader/>
        </w:trPr>
        <w:tc>
          <w:tcPr>
            <w:tcW w:w="2000" w:type="dxa"/>
            <w:tcBorders>
              <w:top w:val="single" w:sz="2" w:space="0" w:color="CFE9DF"/>
              <w:left w:val="single" w:sz="2" w:space="0" w:color="CFE9DF"/>
              <w:bottom w:val="single" w:sz="2" w:space="0" w:color="CFE9DF"/>
              <w:right w:val="single" w:sz="2" w:space="0" w:color="CFE9DF"/>
            </w:tcBorders>
            <w:shd w:val="clear" w:color="auto" w:fill="138059"/>
            <w:tcMar>
              <w:top w:w="90" w:type="dxa"/>
              <w:left w:w="130" w:type="dxa"/>
              <w:bottom w:w="90" w:type="dxa"/>
              <w:right w:w="130" w:type="dxa"/>
            </w:tcMar>
            <w:vAlign w:val="center"/>
          </w:tcPr>
          <w:p w14:paraId="63C7761E" w14:textId="77777777" w:rsidR="00480733" w:rsidRDefault="00480733"/>
        </w:tc>
        <w:tc>
          <w:tcPr>
            <w:tcW w:w="3513" w:type="dxa"/>
            <w:tcBorders>
              <w:top w:val="single" w:sz="2" w:space="0" w:color="CFE9DF"/>
              <w:left w:val="single" w:sz="2" w:space="0" w:color="CFE9DF"/>
              <w:bottom w:val="single" w:sz="2" w:space="0" w:color="CFE9DF"/>
              <w:right w:val="single" w:sz="2" w:space="0" w:color="CFE9DF"/>
            </w:tcBorders>
            <w:shd w:val="clear" w:color="auto" w:fill="138059"/>
            <w:tcMar>
              <w:top w:w="90" w:type="dxa"/>
              <w:left w:w="130" w:type="dxa"/>
              <w:bottom w:w="90" w:type="dxa"/>
              <w:right w:w="130" w:type="dxa"/>
            </w:tcMar>
            <w:vAlign w:val="center"/>
          </w:tcPr>
          <w:p w14:paraId="760B4951" w14:textId="77777777" w:rsidR="00480733" w:rsidRDefault="00000000">
            <w:r>
              <w:rPr>
                <w:b/>
                <w:bCs/>
                <w:color w:val="FFFFFF"/>
                <w:sz w:val="21"/>
                <w:szCs w:val="21"/>
              </w:rPr>
              <w:t>T-score</w:t>
            </w:r>
          </w:p>
        </w:tc>
        <w:tc>
          <w:tcPr>
            <w:tcW w:w="3513" w:type="dxa"/>
            <w:tcBorders>
              <w:top w:val="single" w:sz="2" w:space="0" w:color="CFE9DF"/>
              <w:left w:val="single" w:sz="2" w:space="0" w:color="CFE9DF"/>
              <w:bottom w:val="single" w:sz="2" w:space="0" w:color="CFE9DF"/>
              <w:right w:val="single" w:sz="2" w:space="0" w:color="CFE9DF"/>
            </w:tcBorders>
            <w:shd w:val="clear" w:color="auto" w:fill="138059"/>
            <w:tcMar>
              <w:top w:w="90" w:type="dxa"/>
              <w:left w:w="130" w:type="dxa"/>
              <w:bottom w:w="90" w:type="dxa"/>
              <w:right w:w="130" w:type="dxa"/>
            </w:tcMar>
            <w:vAlign w:val="center"/>
          </w:tcPr>
          <w:p w14:paraId="2A08A243" w14:textId="77777777" w:rsidR="00480733" w:rsidRDefault="00000000">
            <w:r>
              <w:rPr>
                <w:b/>
                <w:bCs/>
                <w:color w:val="FFFFFF"/>
                <w:sz w:val="21"/>
                <w:szCs w:val="21"/>
              </w:rPr>
              <w:t>Z-score</w:t>
            </w:r>
          </w:p>
        </w:tc>
      </w:tr>
      <w:tr w:rsidR="00480733" w14:paraId="24F1C5BF" w14:textId="77777777">
        <w:tblPrEx>
          <w:tblCellMar>
            <w:top w:w="0" w:type="dxa"/>
            <w:bottom w:w="0" w:type="dxa"/>
          </w:tblCellMar>
        </w:tblPrEx>
        <w:tc>
          <w:tcPr>
            <w:tcW w:w="2000"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12E36752" w14:textId="77777777" w:rsidR="00480733" w:rsidRDefault="00000000">
            <w:pPr>
              <w:spacing w:line="260" w:lineRule="auto"/>
            </w:pPr>
            <w:r>
              <w:rPr>
                <w:b/>
                <w:bCs/>
                <w:sz w:val="20"/>
                <w:szCs w:val="20"/>
              </w:rPr>
              <w:t>Compared with</w:t>
            </w:r>
          </w:p>
        </w:tc>
        <w:tc>
          <w:tcPr>
            <w:tcW w:w="3513"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38FF814B" w14:textId="77777777" w:rsidR="00480733" w:rsidRDefault="00000000">
            <w:pPr>
              <w:spacing w:line="260" w:lineRule="auto"/>
            </w:pPr>
            <w:r>
              <w:rPr>
                <w:sz w:val="20"/>
                <w:szCs w:val="20"/>
              </w:rPr>
              <w:t>A healthy young adult (~30), same sex</w:t>
            </w:r>
          </w:p>
        </w:tc>
        <w:tc>
          <w:tcPr>
            <w:tcW w:w="3513"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3D0FDF2E" w14:textId="77777777" w:rsidR="00480733" w:rsidRDefault="00000000">
            <w:pPr>
              <w:spacing w:line="260" w:lineRule="auto"/>
            </w:pPr>
            <w:r>
              <w:rPr>
                <w:sz w:val="20"/>
                <w:szCs w:val="20"/>
              </w:rPr>
              <w:t>People of the same age, sex (and ethnicity)</w:t>
            </w:r>
          </w:p>
        </w:tc>
      </w:tr>
      <w:tr w:rsidR="00480733" w14:paraId="31E22A7A" w14:textId="77777777">
        <w:tblPrEx>
          <w:tblCellMar>
            <w:top w:w="0" w:type="dxa"/>
            <w:bottom w:w="0" w:type="dxa"/>
          </w:tblCellMar>
        </w:tblPrEx>
        <w:tc>
          <w:tcPr>
            <w:tcW w:w="2000"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6A3C08A6" w14:textId="77777777" w:rsidR="00480733" w:rsidRDefault="00000000">
            <w:pPr>
              <w:spacing w:line="260" w:lineRule="auto"/>
            </w:pPr>
            <w:r>
              <w:rPr>
                <w:b/>
                <w:bCs/>
                <w:sz w:val="20"/>
                <w:szCs w:val="20"/>
              </w:rPr>
              <w:t>Main question</w:t>
            </w:r>
          </w:p>
        </w:tc>
        <w:tc>
          <w:tcPr>
            <w:tcW w:w="3513"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1C24C776" w14:textId="77777777" w:rsidR="00480733" w:rsidRDefault="00000000">
            <w:pPr>
              <w:spacing w:line="260" w:lineRule="auto"/>
            </w:pPr>
            <w:r>
              <w:rPr>
                <w:sz w:val="20"/>
                <w:szCs w:val="20"/>
              </w:rPr>
              <w:t>Has bone fallen below its lifetime peak?</w:t>
            </w:r>
          </w:p>
        </w:tc>
        <w:tc>
          <w:tcPr>
            <w:tcW w:w="3513"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4A04B6B5" w14:textId="77777777" w:rsidR="00480733" w:rsidRDefault="00000000">
            <w:pPr>
              <w:spacing w:line="260" w:lineRule="auto"/>
            </w:pPr>
            <w:r>
              <w:rPr>
                <w:sz w:val="20"/>
                <w:szCs w:val="20"/>
              </w:rPr>
              <w:t>Is bone weaker than expected for this age?</w:t>
            </w:r>
          </w:p>
        </w:tc>
      </w:tr>
      <w:tr w:rsidR="00480733" w14:paraId="56BBBAC7" w14:textId="77777777">
        <w:tblPrEx>
          <w:tblCellMar>
            <w:top w:w="0" w:type="dxa"/>
            <w:bottom w:w="0" w:type="dxa"/>
          </w:tblCellMar>
        </w:tblPrEx>
        <w:tc>
          <w:tcPr>
            <w:tcW w:w="2000"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4C84534D" w14:textId="77777777" w:rsidR="00480733" w:rsidRDefault="00000000">
            <w:pPr>
              <w:spacing w:line="260" w:lineRule="auto"/>
            </w:pPr>
            <w:r>
              <w:rPr>
                <w:b/>
                <w:bCs/>
                <w:sz w:val="20"/>
                <w:szCs w:val="20"/>
              </w:rPr>
              <w:t>Used to</w:t>
            </w:r>
          </w:p>
        </w:tc>
        <w:tc>
          <w:tcPr>
            <w:tcW w:w="3513"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0B7C87AB" w14:textId="77777777" w:rsidR="00480733" w:rsidRDefault="00000000">
            <w:pPr>
              <w:spacing w:line="260" w:lineRule="auto"/>
            </w:pPr>
            <w:r>
              <w:rPr>
                <w:b/>
                <w:bCs/>
                <w:color w:val="138059"/>
              </w:rPr>
              <w:t>Diagnose</w:t>
            </w:r>
            <w:r>
              <w:rPr>
                <w:sz w:val="20"/>
                <w:szCs w:val="20"/>
              </w:rPr>
              <w:t xml:space="preserve"> osteoporosis</w:t>
            </w:r>
          </w:p>
        </w:tc>
        <w:tc>
          <w:tcPr>
            <w:tcW w:w="3513"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436D64AB" w14:textId="77777777" w:rsidR="00480733" w:rsidRDefault="00000000">
            <w:pPr>
              <w:spacing w:line="260" w:lineRule="auto"/>
            </w:pPr>
            <w:r>
              <w:rPr>
                <w:b/>
                <w:bCs/>
                <w:color w:val="6D28D9"/>
              </w:rPr>
              <w:t>Flag a secondary cause</w:t>
            </w:r>
          </w:p>
        </w:tc>
      </w:tr>
      <w:tr w:rsidR="00480733" w14:paraId="2870EFF1" w14:textId="77777777">
        <w:tblPrEx>
          <w:tblCellMar>
            <w:top w:w="0" w:type="dxa"/>
            <w:bottom w:w="0" w:type="dxa"/>
          </w:tblCellMar>
        </w:tblPrEx>
        <w:tc>
          <w:tcPr>
            <w:tcW w:w="2000"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7AF94925" w14:textId="77777777" w:rsidR="00480733" w:rsidRDefault="00000000">
            <w:pPr>
              <w:spacing w:line="260" w:lineRule="auto"/>
            </w:pPr>
            <w:r>
              <w:rPr>
                <w:b/>
                <w:bCs/>
                <w:sz w:val="20"/>
                <w:szCs w:val="20"/>
              </w:rPr>
              <w:t>Key number</w:t>
            </w:r>
          </w:p>
        </w:tc>
        <w:tc>
          <w:tcPr>
            <w:tcW w:w="3513"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4877FD03" w14:textId="77777777" w:rsidR="00480733" w:rsidRDefault="00000000">
            <w:pPr>
              <w:spacing w:line="260" w:lineRule="auto"/>
            </w:pPr>
            <w:r>
              <w:rPr>
                <w:sz w:val="20"/>
                <w:szCs w:val="20"/>
              </w:rPr>
              <w:t>≤ −2.5 = osteoporosis</w:t>
            </w:r>
          </w:p>
        </w:tc>
        <w:tc>
          <w:tcPr>
            <w:tcW w:w="3513"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3E323D92" w14:textId="77777777" w:rsidR="00480733" w:rsidRDefault="00000000">
            <w:pPr>
              <w:spacing w:line="260" w:lineRule="auto"/>
            </w:pPr>
            <w:r>
              <w:rPr>
                <w:sz w:val="20"/>
                <w:szCs w:val="20"/>
              </w:rPr>
              <w:t>≤ −2.0 = below expected for age</w:t>
            </w:r>
          </w:p>
        </w:tc>
      </w:tr>
    </w:tbl>
    <w:p w14:paraId="0FB1CB98" w14:textId="77777777" w:rsidR="00480733" w:rsidRDefault="00480733">
      <w:pPr>
        <w:spacing w:after="40"/>
      </w:pPr>
    </w:p>
    <w:p w14:paraId="32DC2DEF" w14:textId="77777777" w:rsidR="00480733" w:rsidRDefault="00000000">
      <w:pPr>
        <w:pStyle w:val="Heading2"/>
      </w:pPr>
      <w:r>
        <w:t>Which score do I read? It depends on the patient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00"/>
        <w:gridCol w:w="1900"/>
        <w:gridCol w:w="4026"/>
      </w:tblGrid>
      <w:tr w:rsidR="00480733" w14:paraId="6FF1F215" w14:textId="77777777">
        <w:tblPrEx>
          <w:tblCellMar>
            <w:top w:w="0" w:type="dxa"/>
            <w:bottom w:w="0" w:type="dxa"/>
          </w:tblCellMar>
        </w:tblPrEx>
        <w:trPr>
          <w:tblHeader/>
        </w:trPr>
        <w:tc>
          <w:tcPr>
            <w:tcW w:w="3100" w:type="dxa"/>
            <w:tcBorders>
              <w:top w:val="single" w:sz="2" w:space="0" w:color="CFE9DF"/>
              <w:left w:val="single" w:sz="2" w:space="0" w:color="CFE9DF"/>
              <w:bottom w:val="single" w:sz="2" w:space="0" w:color="CFE9DF"/>
              <w:right w:val="single" w:sz="2" w:space="0" w:color="CFE9DF"/>
            </w:tcBorders>
            <w:shd w:val="clear" w:color="auto" w:fill="138059"/>
            <w:tcMar>
              <w:top w:w="90" w:type="dxa"/>
              <w:left w:w="130" w:type="dxa"/>
              <w:bottom w:w="90" w:type="dxa"/>
              <w:right w:w="130" w:type="dxa"/>
            </w:tcMar>
            <w:vAlign w:val="center"/>
          </w:tcPr>
          <w:p w14:paraId="43DAE7A4" w14:textId="77777777" w:rsidR="00480733" w:rsidRDefault="00000000">
            <w:r>
              <w:rPr>
                <w:b/>
                <w:bCs/>
                <w:color w:val="FFFFFF"/>
                <w:sz w:val="21"/>
                <w:szCs w:val="21"/>
              </w:rPr>
              <w:t>Patient group</w:t>
            </w:r>
          </w:p>
        </w:tc>
        <w:tc>
          <w:tcPr>
            <w:tcW w:w="1900" w:type="dxa"/>
            <w:tcBorders>
              <w:top w:val="single" w:sz="2" w:space="0" w:color="CFE9DF"/>
              <w:left w:val="single" w:sz="2" w:space="0" w:color="CFE9DF"/>
              <w:bottom w:val="single" w:sz="2" w:space="0" w:color="CFE9DF"/>
              <w:right w:val="single" w:sz="2" w:space="0" w:color="CFE9DF"/>
            </w:tcBorders>
            <w:shd w:val="clear" w:color="auto" w:fill="138059"/>
            <w:tcMar>
              <w:top w:w="90" w:type="dxa"/>
              <w:left w:w="130" w:type="dxa"/>
              <w:bottom w:w="90" w:type="dxa"/>
              <w:right w:w="130" w:type="dxa"/>
            </w:tcMar>
            <w:vAlign w:val="center"/>
          </w:tcPr>
          <w:p w14:paraId="3FF552CC" w14:textId="77777777" w:rsidR="00480733" w:rsidRDefault="00000000">
            <w:r>
              <w:rPr>
                <w:b/>
                <w:bCs/>
                <w:color w:val="FFFFFF"/>
                <w:sz w:val="21"/>
                <w:szCs w:val="21"/>
              </w:rPr>
              <w:t>Read this score</w:t>
            </w:r>
          </w:p>
        </w:tc>
        <w:tc>
          <w:tcPr>
            <w:tcW w:w="4026" w:type="dxa"/>
            <w:tcBorders>
              <w:top w:val="single" w:sz="2" w:space="0" w:color="CFE9DF"/>
              <w:left w:val="single" w:sz="2" w:space="0" w:color="CFE9DF"/>
              <w:bottom w:val="single" w:sz="2" w:space="0" w:color="CFE9DF"/>
              <w:right w:val="single" w:sz="2" w:space="0" w:color="CFE9DF"/>
            </w:tcBorders>
            <w:shd w:val="clear" w:color="auto" w:fill="138059"/>
            <w:tcMar>
              <w:top w:w="90" w:type="dxa"/>
              <w:left w:w="130" w:type="dxa"/>
              <w:bottom w:w="90" w:type="dxa"/>
              <w:right w:w="130" w:type="dxa"/>
            </w:tcMar>
            <w:vAlign w:val="center"/>
          </w:tcPr>
          <w:p w14:paraId="41763C3E" w14:textId="77777777" w:rsidR="00480733" w:rsidRDefault="00000000">
            <w:r>
              <w:rPr>
                <w:b/>
                <w:bCs/>
                <w:color w:val="FFFFFF"/>
                <w:sz w:val="21"/>
                <w:szCs w:val="21"/>
              </w:rPr>
              <w:t>Why</w:t>
            </w:r>
          </w:p>
        </w:tc>
      </w:tr>
      <w:tr w:rsidR="00480733" w14:paraId="5568B900" w14:textId="77777777">
        <w:tblPrEx>
          <w:tblCellMar>
            <w:top w:w="0" w:type="dxa"/>
            <w:bottom w:w="0" w:type="dxa"/>
          </w:tblCellMar>
        </w:tblPrEx>
        <w:tc>
          <w:tcPr>
            <w:tcW w:w="3100"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2FE10E7C" w14:textId="77777777" w:rsidR="00480733" w:rsidRDefault="00000000">
            <w:pPr>
              <w:spacing w:line="260" w:lineRule="auto"/>
            </w:pPr>
            <w:r>
              <w:rPr>
                <w:sz w:val="20"/>
                <w:szCs w:val="20"/>
              </w:rPr>
              <w:t>Postmenopausal women &amp; men aged ≥ 50</w:t>
            </w:r>
          </w:p>
        </w:tc>
        <w:tc>
          <w:tcPr>
            <w:tcW w:w="1900"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67F57274" w14:textId="77777777" w:rsidR="00480733" w:rsidRDefault="00000000">
            <w:pPr>
              <w:spacing w:line="260" w:lineRule="auto"/>
            </w:pPr>
            <w:r>
              <w:rPr>
                <w:b/>
                <w:bCs/>
                <w:color w:val="138059"/>
                <w:sz w:val="20"/>
                <w:szCs w:val="20"/>
              </w:rPr>
              <w:t>T-score</w:t>
            </w:r>
          </w:p>
        </w:tc>
        <w:tc>
          <w:tcPr>
            <w:tcW w:w="4026"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4E34A9F3" w14:textId="77777777" w:rsidR="00480733" w:rsidRDefault="00000000">
            <w:pPr>
              <w:spacing w:line="260" w:lineRule="auto"/>
            </w:pPr>
            <w:r>
              <w:rPr>
                <w:sz w:val="20"/>
                <w:szCs w:val="20"/>
              </w:rPr>
              <w:t>Comparing with peak bone is meaningful and guides treatment.</w:t>
            </w:r>
          </w:p>
        </w:tc>
      </w:tr>
      <w:tr w:rsidR="00480733" w14:paraId="76C3CC6A" w14:textId="77777777">
        <w:tblPrEx>
          <w:tblCellMar>
            <w:top w:w="0" w:type="dxa"/>
            <w:bottom w:w="0" w:type="dxa"/>
          </w:tblCellMar>
        </w:tblPrEx>
        <w:tc>
          <w:tcPr>
            <w:tcW w:w="3100"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2D8E1A28" w14:textId="77777777" w:rsidR="00480733" w:rsidRDefault="00000000">
            <w:pPr>
              <w:spacing w:line="260" w:lineRule="auto"/>
            </w:pPr>
            <w:r>
              <w:rPr>
                <w:sz w:val="20"/>
                <w:szCs w:val="20"/>
              </w:rPr>
              <w:t>Premenopausal women, men &lt; 50</w:t>
            </w:r>
          </w:p>
        </w:tc>
        <w:tc>
          <w:tcPr>
            <w:tcW w:w="1900"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3F8E2C40" w14:textId="77777777" w:rsidR="00480733" w:rsidRDefault="00000000">
            <w:pPr>
              <w:spacing w:line="260" w:lineRule="auto"/>
            </w:pPr>
            <w:r>
              <w:rPr>
                <w:b/>
                <w:bCs/>
                <w:color w:val="6D28D9"/>
                <w:sz w:val="20"/>
                <w:szCs w:val="20"/>
              </w:rPr>
              <w:t>Z-score</w:t>
            </w:r>
          </w:p>
        </w:tc>
        <w:tc>
          <w:tcPr>
            <w:tcW w:w="4026" w:type="dxa"/>
            <w:tcBorders>
              <w:top w:val="single" w:sz="2" w:space="0" w:color="CFE9DF"/>
              <w:left w:val="single" w:sz="2" w:space="0" w:color="CFE9DF"/>
              <w:bottom w:val="single" w:sz="2" w:space="0" w:color="CFE9DF"/>
              <w:right w:val="single" w:sz="2" w:space="0" w:color="CFE9DF"/>
            </w:tcBorders>
            <w:shd w:val="clear" w:color="auto" w:fill="EDFAF5"/>
            <w:tcMar>
              <w:top w:w="80" w:type="dxa"/>
              <w:left w:w="130" w:type="dxa"/>
              <w:bottom w:w="80" w:type="dxa"/>
              <w:right w:w="130" w:type="dxa"/>
            </w:tcMar>
            <w:vAlign w:val="center"/>
          </w:tcPr>
          <w:p w14:paraId="4C44642C" w14:textId="77777777" w:rsidR="00480733" w:rsidRDefault="00000000">
            <w:pPr>
              <w:spacing w:line="260" w:lineRule="auto"/>
            </w:pPr>
            <w:r>
              <w:rPr>
                <w:sz w:val="20"/>
                <w:szCs w:val="20"/>
              </w:rPr>
              <w:t>A young person should not be judged against a 30-year-old peak; a low Z-score prompts a search for a cause.</w:t>
            </w:r>
          </w:p>
        </w:tc>
      </w:tr>
      <w:tr w:rsidR="00480733" w14:paraId="6A779136" w14:textId="77777777">
        <w:tblPrEx>
          <w:tblCellMar>
            <w:top w:w="0" w:type="dxa"/>
            <w:bottom w:w="0" w:type="dxa"/>
          </w:tblCellMar>
        </w:tblPrEx>
        <w:tc>
          <w:tcPr>
            <w:tcW w:w="3100"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5085F5F1" w14:textId="77777777" w:rsidR="00480733" w:rsidRDefault="00000000">
            <w:pPr>
              <w:spacing w:line="260" w:lineRule="auto"/>
            </w:pPr>
            <w:r>
              <w:rPr>
                <w:sz w:val="20"/>
                <w:szCs w:val="20"/>
              </w:rPr>
              <w:t>Children &amp; adolescents</w:t>
            </w:r>
          </w:p>
        </w:tc>
        <w:tc>
          <w:tcPr>
            <w:tcW w:w="1900"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3E390D12" w14:textId="77777777" w:rsidR="00480733" w:rsidRDefault="00000000">
            <w:pPr>
              <w:spacing w:line="260" w:lineRule="auto"/>
            </w:pPr>
            <w:r>
              <w:rPr>
                <w:b/>
                <w:bCs/>
                <w:color w:val="6D28D9"/>
                <w:sz w:val="20"/>
                <w:szCs w:val="20"/>
              </w:rPr>
              <w:t>Z-score</w:t>
            </w:r>
          </w:p>
        </w:tc>
        <w:tc>
          <w:tcPr>
            <w:tcW w:w="4026" w:type="dxa"/>
            <w:tcBorders>
              <w:top w:val="single" w:sz="2" w:space="0" w:color="CFE9DF"/>
              <w:left w:val="single" w:sz="2" w:space="0" w:color="CFE9DF"/>
              <w:bottom w:val="single" w:sz="2" w:space="0" w:color="CFE9DF"/>
              <w:right w:val="single" w:sz="2" w:space="0" w:color="CFE9DF"/>
            </w:tcBorders>
            <w:shd w:val="clear" w:color="auto" w:fill="FFFFFF"/>
            <w:tcMar>
              <w:top w:w="80" w:type="dxa"/>
              <w:left w:w="130" w:type="dxa"/>
              <w:bottom w:w="80" w:type="dxa"/>
              <w:right w:w="130" w:type="dxa"/>
            </w:tcMar>
            <w:vAlign w:val="center"/>
          </w:tcPr>
          <w:p w14:paraId="2DB7424F" w14:textId="77777777" w:rsidR="00480733" w:rsidRDefault="00000000">
            <w:pPr>
              <w:spacing w:line="260" w:lineRule="auto"/>
            </w:pPr>
            <w:r>
              <w:rPr>
                <w:sz w:val="20"/>
                <w:szCs w:val="20"/>
              </w:rPr>
              <w:t>Bones are still growing — only an age-matched comparison makes sense.</w:t>
            </w:r>
          </w:p>
        </w:tc>
      </w:tr>
    </w:tbl>
    <w:p w14:paraId="080AAD85" w14:textId="77777777" w:rsidR="00480733" w:rsidRDefault="00000000">
      <w:pPr>
        <w:spacing w:after="120" w:line="276" w:lineRule="auto"/>
      </w:pPr>
      <w:r>
        <w:rPr>
          <w:i/>
          <w:iCs/>
          <w:color w:val="3C5147"/>
          <w:sz w:val="18"/>
          <w:szCs w:val="18"/>
        </w:rPr>
        <w:t>Source: WHO / ISCD reporting conventions, consistent with NICE CKS “Osteoporosis – prevention of fragility fractures.”</w:t>
      </w:r>
    </w:p>
    <w:p w14:paraId="1CAF862F" w14:textId="77777777" w:rsidR="00480733" w:rsidRDefault="00480733">
      <w:pPr>
        <w:spacing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47AF70B8" w14:textId="77777777">
        <w:tblPrEx>
          <w:tblCellMar>
            <w:top w:w="0" w:type="dxa"/>
            <w:bottom w:w="0" w:type="dxa"/>
          </w:tblCellMar>
        </w:tblPrEx>
        <w:tc>
          <w:tcPr>
            <w:tcW w:w="9026" w:type="dxa"/>
            <w:tcBorders>
              <w:top w:val="single" w:sz="4" w:space="0" w:color="A7E6BD"/>
              <w:left w:val="single" w:sz="24" w:space="0" w:color="A7E6BD"/>
              <w:bottom w:val="single" w:sz="4" w:space="0" w:color="A7E6BD"/>
              <w:right w:val="single" w:sz="4" w:space="0" w:color="A7E6BD"/>
            </w:tcBorders>
            <w:shd w:val="clear" w:color="auto" w:fill="DCFCE7"/>
            <w:tcMar>
              <w:top w:w="140" w:type="dxa"/>
              <w:left w:w="200" w:type="dxa"/>
              <w:bottom w:w="140" w:type="dxa"/>
              <w:right w:w="200" w:type="dxa"/>
            </w:tcMar>
          </w:tcPr>
          <w:p w14:paraId="14BB7BC3" w14:textId="77777777" w:rsidR="00480733" w:rsidRDefault="00000000">
            <w:pPr>
              <w:spacing w:after="80"/>
            </w:pPr>
            <w:r>
              <w:rPr>
                <w:b/>
                <w:bCs/>
                <w:color w:val="138059"/>
                <w:sz w:val="21"/>
                <w:szCs w:val="21"/>
              </w:rPr>
              <w:t>📌 Key learning points</w:t>
            </w:r>
          </w:p>
          <w:p w14:paraId="7787B4A3" w14:textId="77777777" w:rsidR="00480733" w:rsidRDefault="00000000">
            <w:pPr>
              <w:spacing w:after="60" w:line="264" w:lineRule="auto"/>
            </w:pPr>
            <w:r>
              <w:rPr>
                <w:color w:val="14241E"/>
              </w:rPr>
              <w:t>Both scores appear on every report — choose the right one for the patient.</w:t>
            </w:r>
          </w:p>
          <w:p w14:paraId="2C29D863" w14:textId="77777777" w:rsidR="00480733" w:rsidRDefault="00000000">
            <w:pPr>
              <w:spacing w:after="60" w:line="264" w:lineRule="auto"/>
            </w:pPr>
            <w:r>
              <w:rPr>
                <w:color w:val="14241E"/>
              </w:rPr>
              <w:t>T-score for postmenopausal women and men ≥ 50.</w:t>
            </w:r>
          </w:p>
          <w:p w14:paraId="5C5F1B84" w14:textId="77777777" w:rsidR="00480733" w:rsidRDefault="00000000">
            <w:pPr>
              <w:spacing w:line="264" w:lineRule="auto"/>
            </w:pPr>
            <w:r>
              <w:rPr>
                <w:color w:val="14241E"/>
              </w:rPr>
              <w:t>Z-score for younger adults and children — and always look for a secondary cause if it is low.</w:t>
            </w:r>
          </w:p>
        </w:tc>
      </w:tr>
    </w:tbl>
    <w:p w14:paraId="30840D8C" w14:textId="77777777" w:rsidR="00480733" w:rsidRDefault="00000000">
      <w:pPr>
        <w:pStyle w:val="Heading1"/>
      </w:pPr>
      <w:proofErr w:type="gramStart"/>
      <w:r>
        <w:lastRenderedPageBreak/>
        <w:t>5  Worked</w:t>
      </w:r>
      <w:proofErr w:type="gramEnd"/>
      <w:r>
        <w:t xml:space="preserve"> examples</w:t>
      </w:r>
      <w:r>
        <w:rPr>
          <w:color w:val="138059"/>
        </w:rPr>
        <w:t>: reading the score and deciding what to do</w:t>
      </w:r>
    </w:p>
    <w:p w14:paraId="5508915E" w14:textId="77777777" w:rsidR="00480733" w:rsidRDefault="00000000">
      <w:pPr>
        <w:spacing w:after="120" w:line="276" w:lineRule="auto"/>
      </w:pPr>
      <w:r>
        <w:rPr>
          <w:sz w:val="21"/>
          <w:szCs w:val="21"/>
        </w:rPr>
        <w:t>Now we apply it. For each example, decide the band first, then the next step. The “next step” follows the NICE pathway shown in Section 6.</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3DC2164B" w14:textId="77777777">
        <w:tblPrEx>
          <w:tblCellMar>
            <w:top w:w="0" w:type="dxa"/>
            <w:bottom w:w="0" w:type="dxa"/>
          </w:tblCellMar>
        </w:tblPrEx>
        <w:tc>
          <w:tcPr>
            <w:tcW w:w="9026" w:type="dxa"/>
            <w:tcBorders>
              <w:top w:val="single" w:sz="4" w:space="0" w:color="D0F5EB"/>
              <w:left w:val="single" w:sz="24" w:space="0" w:color="D0F5EB"/>
              <w:bottom w:val="single" w:sz="4" w:space="0" w:color="D0F5EB"/>
              <w:right w:val="single" w:sz="4" w:space="0" w:color="D0F5EB"/>
            </w:tcBorders>
            <w:shd w:val="clear" w:color="auto" w:fill="FFFFFF"/>
            <w:tcMar>
              <w:top w:w="140" w:type="dxa"/>
              <w:left w:w="200" w:type="dxa"/>
              <w:bottom w:w="140" w:type="dxa"/>
              <w:right w:w="200" w:type="dxa"/>
            </w:tcMar>
          </w:tcPr>
          <w:p w14:paraId="44BDB75D" w14:textId="77777777" w:rsidR="00480733" w:rsidRDefault="00000000">
            <w:pPr>
              <w:spacing w:after="80"/>
            </w:pPr>
            <w:r>
              <w:rPr>
                <w:b/>
                <w:bCs/>
                <w:color w:val="0A4A38"/>
                <w:sz w:val="21"/>
                <w:szCs w:val="21"/>
              </w:rPr>
              <w:t>Example 1</w:t>
            </w:r>
          </w:p>
          <w:p w14:paraId="3D303A0F" w14:textId="77777777" w:rsidR="00480733" w:rsidRDefault="00000000">
            <w:pPr>
              <w:spacing w:after="60" w:line="264" w:lineRule="auto"/>
            </w:pPr>
            <w:r>
              <w:rPr>
                <w:b/>
                <w:bCs/>
                <w:color w:val="14241E"/>
              </w:rPr>
              <w:t xml:space="preserve">Patient: </w:t>
            </w:r>
            <w:r>
              <w:rPr>
                <w:color w:val="14241E"/>
              </w:rPr>
              <w:t>68-year-old woman, no fractures, on a routine scan after a FRAX score near the treatment threshold.</w:t>
            </w:r>
          </w:p>
          <w:p w14:paraId="7E303207" w14:textId="77777777" w:rsidR="00480733" w:rsidRDefault="00000000">
            <w:pPr>
              <w:spacing w:after="60" w:line="264" w:lineRule="auto"/>
            </w:pPr>
            <w:r>
              <w:rPr>
                <w:b/>
                <w:bCs/>
                <w:color w:val="14241E"/>
              </w:rPr>
              <w:t xml:space="preserve">Score: </w:t>
            </w:r>
            <w:r>
              <w:rPr>
                <w:color w:val="14241E"/>
              </w:rPr>
              <w:t>Femoral neck T-score −1.3 (Z-score −0.2).</w:t>
            </w:r>
          </w:p>
          <w:p w14:paraId="19FC3BEB" w14:textId="77777777" w:rsidR="00480733" w:rsidRDefault="00000000">
            <w:pPr>
              <w:spacing w:after="60" w:line="264" w:lineRule="auto"/>
            </w:pPr>
            <w:r>
              <w:rPr>
                <w:b/>
                <w:bCs/>
                <w:color w:val="14241E"/>
              </w:rPr>
              <w:t xml:space="preserve">Reading: </w:t>
            </w:r>
            <w:r>
              <w:rPr>
                <w:b/>
                <w:bCs/>
                <w:color w:val="B45309"/>
              </w:rPr>
              <w:t>Osteopenia (low bone mass).</w:t>
            </w:r>
          </w:p>
          <w:p w14:paraId="7C936622" w14:textId="77777777" w:rsidR="00480733" w:rsidRDefault="00000000">
            <w:pPr>
              <w:spacing w:line="264" w:lineRule="auto"/>
            </w:pPr>
            <w:r>
              <w:rPr>
                <w:b/>
                <w:bCs/>
                <w:color w:val="14241E"/>
              </w:rPr>
              <w:t xml:space="preserve">What to do next: </w:t>
            </w:r>
            <w:r>
              <w:rPr>
                <w:color w:val="14241E"/>
              </w:rPr>
              <w:t>Put the T-score back into FRAX and recalculate. Treat only if the recalculated risk crosses the local/NOGG intervention threshold; otherwise give lifestyle advice and plan a review.</w:t>
            </w:r>
          </w:p>
        </w:tc>
      </w:tr>
    </w:tbl>
    <w:p w14:paraId="59DE2378" w14:textId="77777777" w:rsidR="00480733" w:rsidRPr="00BE17AD" w:rsidRDefault="00480733">
      <w:pPr>
        <w:spacing w:after="30"/>
        <w:rPr>
          <w:sz w:val="8"/>
          <w:szCs w:val="8"/>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2FA5F4EC" w14:textId="77777777">
        <w:tblPrEx>
          <w:tblCellMar>
            <w:top w:w="0" w:type="dxa"/>
            <w:bottom w:w="0" w:type="dxa"/>
          </w:tblCellMar>
        </w:tblPrEx>
        <w:tc>
          <w:tcPr>
            <w:tcW w:w="9026" w:type="dxa"/>
            <w:tcBorders>
              <w:top w:val="single" w:sz="4" w:space="0" w:color="D0F5EB"/>
              <w:left w:val="single" w:sz="24" w:space="0" w:color="D0F5EB"/>
              <w:bottom w:val="single" w:sz="4" w:space="0" w:color="D0F5EB"/>
              <w:right w:val="single" w:sz="4" w:space="0" w:color="D0F5EB"/>
            </w:tcBorders>
            <w:shd w:val="clear" w:color="auto" w:fill="FFFFFF"/>
            <w:tcMar>
              <w:top w:w="140" w:type="dxa"/>
              <w:left w:w="200" w:type="dxa"/>
              <w:bottom w:w="140" w:type="dxa"/>
              <w:right w:w="200" w:type="dxa"/>
            </w:tcMar>
          </w:tcPr>
          <w:p w14:paraId="3A03A5D6" w14:textId="77777777" w:rsidR="00480733" w:rsidRDefault="00000000">
            <w:pPr>
              <w:spacing w:after="80"/>
            </w:pPr>
            <w:r>
              <w:rPr>
                <w:b/>
                <w:bCs/>
                <w:color w:val="0A4A38"/>
                <w:sz w:val="21"/>
                <w:szCs w:val="21"/>
              </w:rPr>
              <w:t>Example 2</w:t>
            </w:r>
          </w:p>
          <w:p w14:paraId="38FDC428" w14:textId="77777777" w:rsidR="00480733" w:rsidRDefault="00000000">
            <w:pPr>
              <w:spacing w:after="60" w:line="264" w:lineRule="auto"/>
            </w:pPr>
            <w:r>
              <w:rPr>
                <w:b/>
                <w:bCs/>
                <w:color w:val="14241E"/>
              </w:rPr>
              <w:t xml:space="preserve">Patient: </w:t>
            </w:r>
            <w:r>
              <w:rPr>
                <w:color w:val="14241E"/>
              </w:rPr>
              <w:t>74-year-old man with a recent low-trauma wrist fracture.</w:t>
            </w:r>
          </w:p>
          <w:p w14:paraId="7A5AFBF5" w14:textId="77777777" w:rsidR="00480733" w:rsidRDefault="00000000">
            <w:pPr>
              <w:spacing w:after="60" w:line="264" w:lineRule="auto"/>
            </w:pPr>
            <w:r>
              <w:rPr>
                <w:b/>
                <w:bCs/>
                <w:color w:val="14241E"/>
              </w:rPr>
              <w:t xml:space="preserve">Score: </w:t>
            </w:r>
            <w:r>
              <w:rPr>
                <w:color w:val="14241E"/>
              </w:rPr>
              <w:t>Spine T-score −2.7 (Z-score −1.1).</w:t>
            </w:r>
          </w:p>
          <w:p w14:paraId="0F80E682" w14:textId="77777777" w:rsidR="00480733" w:rsidRDefault="00000000">
            <w:pPr>
              <w:spacing w:after="60" w:line="264" w:lineRule="auto"/>
            </w:pPr>
            <w:r>
              <w:rPr>
                <w:b/>
                <w:bCs/>
                <w:color w:val="14241E"/>
              </w:rPr>
              <w:t xml:space="preserve">Reading: </w:t>
            </w:r>
            <w:r>
              <w:rPr>
                <w:b/>
                <w:bCs/>
                <w:color w:val="B91C1C"/>
              </w:rPr>
              <w:t>Osteoporosis — and, with the fracture, established (severe) osteoporosis.</w:t>
            </w:r>
          </w:p>
          <w:p w14:paraId="5F17D07B" w14:textId="77777777" w:rsidR="00480733" w:rsidRDefault="00000000">
            <w:pPr>
              <w:spacing w:line="264" w:lineRule="auto"/>
            </w:pPr>
            <w:r>
              <w:rPr>
                <w:b/>
                <w:bCs/>
                <w:color w:val="14241E"/>
              </w:rPr>
              <w:t xml:space="preserve">What to do next: </w:t>
            </w:r>
            <w:r>
              <w:rPr>
                <w:color w:val="14241E"/>
              </w:rPr>
              <w:t>Offer treatment: first-line oral bisphosphonate if suitable. Check calcium and vitamin D, address falls risk, and screen for secondary causes.</w:t>
            </w:r>
          </w:p>
        </w:tc>
      </w:tr>
    </w:tbl>
    <w:p w14:paraId="0CB1CD57" w14:textId="77777777" w:rsidR="00480733" w:rsidRPr="00BE17AD" w:rsidRDefault="00480733">
      <w:pPr>
        <w:spacing w:after="30"/>
        <w:rPr>
          <w:sz w:val="8"/>
          <w:szCs w:val="8"/>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2620FFE8" w14:textId="77777777">
        <w:tblPrEx>
          <w:tblCellMar>
            <w:top w:w="0" w:type="dxa"/>
            <w:bottom w:w="0" w:type="dxa"/>
          </w:tblCellMar>
        </w:tblPrEx>
        <w:tc>
          <w:tcPr>
            <w:tcW w:w="9026" w:type="dxa"/>
            <w:tcBorders>
              <w:top w:val="single" w:sz="4" w:space="0" w:color="D0F5EB"/>
              <w:left w:val="single" w:sz="24" w:space="0" w:color="D0F5EB"/>
              <w:bottom w:val="single" w:sz="4" w:space="0" w:color="D0F5EB"/>
              <w:right w:val="single" w:sz="4" w:space="0" w:color="D0F5EB"/>
            </w:tcBorders>
            <w:shd w:val="clear" w:color="auto" w:fill="FFFFFF"/>
            <w:tcMar>
              <w:top w:w="140" w:type="dxa"/>
              <w:left w:w="200" w:type="dxa"/>
              <w:bottom w:w="140" w:type="dxa"/>
              <w:right w:w="200" w:type="dxa"/>
            </w:tcMar>
          </w:tcPr>
          <w:p w14:paraId="1C1F40A6" w14:textId="77777777" w:rsidR="00480733" w:rsidRDefault="00000000">
            <w:pPr>
              <w:spacing w:after="80"/>
            </w:pPr>
            <w:r>
              <w:rPr>
                <w:b/>
                <w:bCs/>
                <w:color w:val="0A4A38"/>
                <w:sz w:val="21"/>
                <w:szCs w:val="21"/>
              </w:rPr>
              <w:t>Example 3</w:t>
            </w:r>
          </w:p>
          <w:p w14:paraId="75FFE310" w14:textId="77777777" w:rsidR="00480733" w:rsidRDefault="00000000">
            <w:pPr>
              <w:spacing w:after="60" w:line="264" w:lineRule="auto"/>
            </w:pPr>
            <w:r>
              <w:rPr>
                <w:b/>
                <w:bCs/>
                <w:color w:val="14241E"/>
              </w:rPr>
              <w:t xml:space="preserve">Patient: </w:t>
            </w:r>
            <w:r>
              <w:rPr>
                <w:color w:val="14241E"/>
              </w:rPr>
              <w:t>70-year-old woman, fully fit, scan done as part of risk assessment.</w:t>
            </w:r>
          </w:p>
          <w:p w14:paraId="74B6D6F1" w14:textId="77777777" w:rsidR="00480733" w:rsidRDefault="00000000">
            <w:pPr>
              <w:spacing w:after="60" w:line="264" w:lineRule="auto"/>
            </w:pPr>
            <w:r>
              <w:rPr>
                <w:b/>
                <w:bCs/>
                <w:color w:val="14241E"/>
              </w:rPr>
              <w:t xml:space="preserve">Score: </w:t>
            </w:r>
            <w:r>
              <w:rPr>
                <w:color w:val="14241E"/>
              </w:rPr>
              <w:t>T-score −0.4 (Z-score +0.6).</w:t>
            </w:r>
          </w:p>
          <w:p w14:paraId="2560DEC1" w14:textId="77777777" w:rsidR="00480733" w:rsidRDefault="00000000">
            <w:pPr>
              <w:spacing w:after="60" w:line="264" w:lineRule="auto"/>
            </w:pPr>
            <w:r>
              <w:rPr>
                <w:b/>
                <w:bCs/>
                <w:color w:val="14241E"/>
              </w:rPr>
              <w:t xml:space="preserve">Reading: </w:t>
            </w:r>
            <w:r>
              <w:rPr>
                <w:b/>
                <w:bCs/>
                <w:color w:val="16A34A"/>
              </w:rPr>
              <w:t>Normal.</w:t>
            </w:r>
          </w:p>
          <w:p w14:paraId="104E47B1" w14:textId="77777777" w:rsidR="00480733" w:rsidRDefault="00000000">
            <w:pPr>
              <w:spacing w:line="264" w:lineRule="auto"/>
            </w:pPr>
            <w:r>
              <w:rPr>
                <w:b/>
                <w:bCs/>
                <w:color w:val="14241E"/>
              </w:rPr>
              <w:t xml:space="preserve">What to do next: </w:t>
            </w:r>
            <w:r>
              <w:rPr>
                <w:color w:val="14241E"/>
              </w:rPr>
              <w:t>No drug treatment for bone density. Give lifestyle advice (weight-bearing exercise, adequate calcium and vitamin D, stop smoking, reduce alcohol) and re-assess risk in future.</w:t>
            </w:r>
          </w:p>
        </w:tc>
      </w:tr>
    </w:tbl>
    <w:p w14:paraId="5B06405F" w14:textId="77777777" w:rsidR="00480733" w:rsidRPr="00BE17AD" w:rsidRDefault="00480733">
      <w:pPr>
        <w:spacing w:after="30"/>
        <w:rPr>
          <w:sz w:val="8"/>
          <w:szCs w:val="8"/>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5EA6F299" w14:textId="77777777">
        <w:tblPrEx>
          <w:tblCellMar>
            <w:top w:w="0" w:type="dxa"/>
            <w:bottom w:w="0" w:type="dxa"/>
          </w:tblCellMar>
        </w:tblPrEx>
        <w:tc>
          <w:tcPr>
            <w:tcW w:w="9026" w:type="dxa"/>
            <w:tcBorders>
              <w:top w:val="single" w:sz="4" w:space="0" w:color="D0F5EB"/>
              <w:left w:val="single" w:sz="24" w:space="0" w:color="D0F5EB"/>
              <w:bottom w:val="single" w:sz="4" w:space="0" w:color="D0F5EB"/>
              <w:right w:val="single" w:sz="4" w:space="0" w:color="D0F5EB"/>
            </w:tcBorders>
            <w:shd w:val="clear" w:color="auto" w:fill="FFFFFF"/>
            <w:tcMar>
              <w:top w:w="140" w:type="dxa"/>
              <w:left w:w="200" w:type="dxa"/>
              <w:bottom w:w="140" w:type="dxa"/>
              <w:right w:w="200" w:type="dxa"/>
            </w:tcMar>
          </w:tcPr>
          <w:p w14:paraId="19E0553B" w14:textId="77777777" w:rsidR="00480733" w:rsidRDefault="00000000">
            <w:pPr>
              <w:spacing w:after="80"/>
            </w:pPr>
            <w:r>
              <w:rPr>
                <w:b/>
                <w:bCs/>
                <w:color w:val="0A4A38"/>
                <w:sz w:val="21"/>
                <w:szCs w:val="21"/>
              </w:rPr>
              <w:t>Example 4</w:t>
            </w:r>
          </w:p>
          <w:p w14:paraId="4E326E4E" w14:textId="77777777" w:rsidR="00480733" w:rsidRDefault="00000000">
            <w:pPr>
              <w:spacing w:after="60" w:line="264" w:lineRule="auto"/>
            </w:pPr>
            <w:r>
              <w:rPr>
                <w:b/>
                <w:bCs/>
                <w:color w:val="14241E"/>
              </w:rPr>
              <w:t xml:space="preserve">Patient: </w:t>
            </w:r>
            <w:r>
              <w:rPr>
                <w:color w:val="14241E"/>
              </w:rPr>
              <w:t>34-year-old woman with no obvious risk factors, scanned after two low-trauma fractures.</w:t>
            </w:r>
          </w:p>
          <w:p w14:paraId="7FBE972D" w14:textId="77777777" w:rsidR="00480733" w:rsidRDefault="00000000">
            <w:pPr>
              <w:spacing w:after="60" w:line="264" w:lineRule="auto"/>
            </w:pPr>
            <w:r>
              <w:rPr>
                <w:b/>
                <w:bCs/>
                <w:color w:val="14241E"/>
              </w:rPr>
              <w:t xml:space="preserve">Score: </w:t>
            </w:r>
            <w:r>
              <w:rPr>
                <w:color w:val="14241E"/>
              </w:rPr>
              <w:t>Z-score −2.4 (a T-score may also be quoted but is not the right tool here).</w:t>
            </w:r>
          </w:p>
          <w:p w14:paraId="4DBA8851" w14:textId="77777777" w:rsidR="00480733" w:rsidRDefault="00000000">
            <w:pPr>
              <w:spacing w:after="60" w:line="264" w:lineRule="auto"/>
            </w:pPr>
            <w:r>
              <w:rPr>
                <w:b/>
                <w:bCs/>
                <w:color w:val="14241E"/>
              </w:rPr>
              <w:t xml:space="preserve">Reading: </w:t>
            </w:r>
            <w:r>
              <w:rPr>
                <w:b/>
                <w:bCs/>
                <w:color w:val="6D28D9"/>
              </w:rPr>
              <w:t>“Below the expected range for age” — a red flag, not a label of osteoporosis.</w:t>
            </w:r>
          </w:p>
          <w:p w14:paraId="080C65B8" w14:textId="77777777" w:rsidR="00480733" w:rsidRDefault="00000000">
            <w:pPr>
              <w:spacing w:line="264" w:lineRule="auto"/>
            </w:pPr>
            <w:r>
              <w:rPr>
                <w:b/>
                <w:bCs/>
                <w:color w:val="14241E"/>
              </w:rPr>
              <w:t xml:space="preserve">What to do next: </w:t>
            </w:r>
            <w:r>
              <w:rPr>
                <w:color w:val="14241E"/>
              </w:rPr>
              <w:t>In a young patient, use the Z-score. Investigate for a secondary cause (steroids, coeliac disease, early menopause, thyroid/parathyroid disease, CKD, myeloma, alcohol) and consider specialist referral.</w:t>
            </w:r>
          </w:p>
        </w:tc>
      </w:tr>
    </w:tbl>
    <w:p w14:paraId="45B5BE9C" w14:textId="77777777" w:rsidR="00480733" w:rsidRDefault="00480733">
      <w:pPr>
        <w:spacing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1E9290FD" w14:textId="77777777">
        <w:tblPrEx>
          <w:tblCellMar>
            <w:top w:w="0" w:type="dxa"/>
            <w:bottom w:w="0" w:type="dxa"/>
          </w:tblCellMar>
        </w:tblPrEx>
        <w:tc>
          <w:tcPr>
            <w:tcW w:w="9026" w:type="dxa"/>
            <w:tcBorders>
              <w:top w:val="single" w:sz="4" w:space="0" w:color="A7E6BD"/>
              <w:left w:val="single" w:sz="24" w:space="0" w:color="A7E6BD"/>
              <w:bottom w:val="single" w:sz="4" w:space="0" w:color="A7E6BD"/>
              <w:right w:val="single" w:sz="4" w:space="0" w:color="A7E6BD"/>
            </w:tcBorders>
            <w:shd w:val="clear" w:color="auto" w:fill="DCFCE7"/>
            <w:tcMar>
              <w:top w:w="140" w:type="dxa"/>
              <w:left w:w="200" w:type="dxa"/>
              <w:bottom w:w="140" w:type="dxa"/>
              <w:right w:w="200" w:type="dxa"/>
            </w:tcMar>
          </w:tcPr>
          <w:p w14:paraId="685E3725" w14:textId="77777777" w:rsidR="00480733" w:rsidRDefault="00000000">
            <w:pPr>
              <w:spacing w:after="80"/>
            </w:pPr>
            <w:r>
              <w:rPr>
                <w:b/>
                <w:bCs/>
                <w:color w:val="138059"/>
                <w:sz w:val="21"/>
                <w:szCs w:val="21"/>
              </w:rPr>
              <w:t>📌 Key learning points</w:t>
            </w:r>
          </w:p>
          <w:p w14:paraId="0176636E" w14:textId="77777777" w:rsidR="00480733" w:rsidRDefault="00000000">
            <w:pPr>
              <w:spacing w:after="60" w:line="264" w:lineRule="auto"/>
            </w:pPr>
            <w:r>
              <w:rPr>
                <w:color w:val="14241E"/>
              </w:rPr>
              <w:t>Band the score first, then act — the score never decides treatment on its own.</w:t>
            </w:r>
          </w:p>
          <w:p w14:paraId="35D13666" w14:textId="77777777" w:rsidR="00480733" w:rsidRDefault="00000000">
            <w:pPr>
              <w:spacing w:after="60" w:line="264" w:lineRule="auto"/>
            </w:pPr>
            <w:r>
              <w:rPr>
                <w:color w:val="14241E"/>
              </w:rPr>
              <w:t>In older patients, the T-score sits inside a FRAX/</w:t>
            </w:r>
            <w:proofErr w:type="spellStart"/>
            <w:r>
              <w:rPr>
                <w:color w:val="14241E"/>
              </w:rPr>
              <w:t>QFracture</w:t>
            </w:r>
            <w:proofErr w:type="spellEnd"/>
            <w:r>
              <w:rPr>
                <w:color w:val="14241E"/>
              </w:rPr>
              <w:t xml:space="preserve"> risk decision.</w:t>
            </w:r>
          </w:p>
          <w:p w14:paraId="3620ACD1" w14:textId="77777777" w:rsidR="00480733" w:rsidRDefault="00000000">
            <w:pPr>
              <w:spacing w:line="264" w:lineRule="auto"/>
            </w:pPr>
            <w:r>
              <w:rPr>
                <w:color w:val="14241E"/>
              </w:rPr>
              <w:t>A low Z-score in a young patient means investigate, not simply treat.</w:t>
            </w:r>
          </w:p>
        </w:tc>
      </w:tr>
    </w:tbl>
    <w:p w14:paraId="77D10330" w14:textId="77777777" w:rsidR="00480733" w:rsidRDefault="00000000">
      <w:pPr>
        <w:pStyle w:val="Heading1"/>
      </w:pPr>
      <w:proofErr w:type="gramStart"/>
      <w:r>
        <w:lastRenderedPageBreak/>
        <w:t>6  Where</w:t>
      </w:r>
      <w:proofErr w:type="gramEnd"/>
      <w:r>
        <w:t xml:space="preserve"> the scan fits</w:t>
      </w:r>
      <w:r>
        <w:rPr>
          <w:color w:val="138059"/>
        </w:rPr>
        <w:t>: the NICE pathway</w:t>
      </w:r>
    </w:p>
    <w:p w14:paraId="28743B01" w14:textId="77777777" w:rsidR="00480733" w:rsidRDefault="00000000">
      <w:pPr>
        <w:spacing w:after="120" w:line="276" w:lineRule="auto"/>
      </w:pPr>
      <w:r>
        <w:rPr>
          <w:sz w:val="21"/>
          <w:szCs w:val="21"/>
        </w:rPr>
        <w:t>A common trap is to scan first and ask questions later. NICE works the other way round: you estimate fracture risk first, and the DXA scan is used to sharpen the decision — not to start it.</w:t>
      </w:r>
    </w:p>
    <w:p w14:paraId="0E0864DE" w14:textId="77777777" w:rsidR="00480733" w:rsidRDefault="00000000">
      <w:pPr>
        <w:spacing w:before="80" w:after="120"/>
        <w:jc w:val="center"/>
      </w:pPr>
      <w:r>
        <w:rPr>
          <w:noProof/>
        </w:rPr>
        <w:drawing>
          <wp:inline distT="0" distB="0" distL="0" distR="0" wp14:anchorId="2DC8AE32" wp14:editId="06CF92F4">
            <wp:extent cx="6096000" cy="5019675"/>
            <wp:effectExtent l="0" t="0" r="0" b="0"/>
            <wp:docPr id="1477335463" name="flow" descr="flow" title="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6096000" cy="5019675"/>
                    </a:xfrm>
                    <a:prstGeom prst="rect">
                      <a:avLst/>
                    </a:prstGeom>
                  </pic:spPr>
                </pic:pic>
              </a:graphicData>
            </a:graphic>
          </wp:inline>
        </w:drawing>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191FF8A8" w14:textId="77777777">
        <w:tblPrEx>
          <w:tblCellMar>
            <w:top w:w="0" w:type="dxa"/>
            <w:bottom w:w="0" w:type="dxa"/>
          </w:tblCellMar>
        </w:tblPrEx>
        <w:tc>
          <w:tcPr>
            <w:tcW w:w="9026" w:type="dxa"/>
            <w:tcBorders>
              <w:top w:val="single" w:sz="4" w:space="0" w:color="A8C7F5"/>
              <w:left w:val="single" w:sz="24" w:space="0" w:color="A8C7F5"/>
              <w:bottom w:val="single" w:sz="4" w:space="0" w:color="A8C7F5"/>
              <w:right w:val="single" w:sz="4" w:space="0" w:color="A8C7F5"/>
            </w:tcBorders>
            <w:shd w:val="clear" w:color="auto" w:fill="DCEAFD"/>
            <w:tcMar>
              <w:top w:w="140" w:type="dxa"/>
              <w:left w:w="200" w:type="dxa"/>
              <w:bottom w:w="140" w:type="dxa"/>
              <w:right w:w="200" w:type="dxa"/>
            </w:tcMar>
          </w:tcPr>
          <w:p w14:paraId="73124168" w14:textId="77777777" w:rsidR="00480733" w:rsidRDefault="00000000">
            <w:pPr>
              <w:spacing w:after="80"/>
            </w:pPr>
            <w:r>
              <w:rPr>
                <w:b/>
                <w:bCs/>
                <w:color w:val="1D4ED8"/>
                <w:sz w:val="21"/>
                <w:szCs w:val="21"/>
              </w:rPr>
              <w:t>🟦 The rules that surround the scan (NICE CG146)</w:t>
            </w:r>
          </w:p>
          <w:p w14:paraId="1E642BCB" w14:textId="77777777" w:rsidR="00480733" w:rsidRDefault="00000000">
            <w:pPr>
              <w:spacing w:after="60" w:line="264" w:lineRule="auto"/>
            </w:pPr>
            <w:r>
              <w:rPr>
                <w:color w:val="14241E"/>
              </w:rPr>
              <w:t xml:space="preserve">Estimate 10-year fracture risk with </w:t>
            </w:r>
            <w:r>
              <w:rPr>
                <w:b/>
                <w:bCs/>
                <w:color w:val="14241E"/>
              </w:rPr>
              <w:t>FRAX</w:t>
            </w:r>
            <w:r>
              <w:rPr>
                <w:color w:val="14241E"/>
              </w:rPr>
              <w:t xml:space="preserve"> (ages 40–90) or </w:t>
            </w:r>
            <w:proofErr w:type="spellStart"/>
            <w:r>
              <w:rPr>
                <w:b/>
                <w:bCs/>
                <w:color w:val="14241E"/>
              </w:rPr>
              <w:t>QFracture</w:t>
            </w:r>
            <w:proofErr w:type="spellEnd"/>
            <w:r>
              <w:rPr>
                <w:color w:val="14241E"/>
              </w:rPr>
              <w:t xml:space="preserve"> (ages 30–84) </w:t>
            </w:r>
            <w:r>
              <w:rPr>
                <w:i/>
                <w:iCs/>
                <w:color w:val="14241E"/>
              </w:rPr>
              <w:t>before</w:t>
            </w:r>
            <w:r>
              <w:rPr>
                <w:color w:val="14241E"/>
              </w:rPr>
              <w:t xml:space="preserve"> arranging a scan.</w:t>
            </w:r>
          </w:p>
          <w:p w14:paraId="03F0CBB7" w14:textId="77777777" w:rsidR="00480733" w:rsidRDefault="00000000">
            <w:pPr>
              <w:spacing w:after="60" w:line="264" w:lineRule="auto"/>
            </w:pPr>
            <w:r>
              <w:rPr>
                <w:color w:val="14241E"/>
              </w:rPr>
              <w:t xml:space="preserve">Do </w:t>
            </w:r>
            <w:r>
              <w:rPr>
                <w:b/>
                <w:bCs/>
                <w:color w:val="14241E"/>
              </w:rPr>
              <w:t>not</w:t>
            </w:r>
            <w:r>
              <w:rPr>
                <w:color w:val="14241E"/>
              </w:rPr>
              <w:t xml:space="preserve"> routinely measure BMD without a prior FRAX/</w:t>
            </w:r>
            <w:proofErr w:type="spellStart"/>
            <w:r>
              <w:rPr>
                <w:color w:val="14241E"/>
              </w:rPr>
              <w:t>QFracture</w:t>
            </w:r>
            <w:proofErr w:type="spellEnd"/>
            <w:r>
              <w:rPr>
                <w:color w:val="14241E"/>
              </w:rPr>
              <w:t xml:space="preserve"> assessment.</w:t>
            </w:r>
          </w:p>
          <w:p w14:paraId="47C3CB1A" w14:textId="77777777" w:rsidR="00480733" w:rsidRDefault="00000000">
            <w:pPr>
              <w:spacing w:after="60" w:line="264" w:lineRule="auto"/>
            </w:pPr>
            <w:r>
              <w:rPr>
                <w:color w:val="14241E"/>
              </w:rPr>
              <w:t xml:space="preserve">Arrange DXA when the risk sits </w:t>
            </w:r>
            <w:r>
              <w:rPr>
                <w:b/>
                <w:bCs/>
                <w:color w:val="14241E"/>
              </w:rPr>
              <w:t>around the intervention threshold</w:t>
            </w:r>
            <w:r>
              <w:rPr>
                <w:color w:val="14241E"/>
              </w:rPr>
              <w:t>, then recalculate FRAX with the BMD value.</w:t>
            </w:r>
          </w:p>
          <w:p w14:paraId="3D5370F3" w14:textId="77777777" w:rsidR="00480733" w:rsidRDefault="00000000">
            <w:pPr>
              <w:spacing w:after="60" w:line="264" w:lineRule="auto"/>
            </w:pPr>
            <w:r>
              <w:rPr>
                <w:color w:val="14241E"/>
              </w:rPr>
              <w:t xml:space="preserve">NICE does not set the intervention threshold itself — follow your </w:t>
            </w:r>
            <w:r>
              <w:rPr>
                <w:b/>
                <w:bCs/>
                <w:color w:val="14241E"/>
              </w:rPr>
              <w:t>local / NOGG</w:t>
            </w:r>
            <w:r>
              <w:rPr>
                <w:color w:val="14241E"/>
              </w:rPr>
              <w:t xml:space="preserve"> guidance.</w:t>
            </w:r>
          </w:p>
          <w:p w14:paraId="4520DF36" w14:textId="77777777" w:rsidR="00480733" w:rsidRDefault="00000000">
            <w:pPr>
              <w:spacing w:line="264" w:lineRule="auto"/>
            </w:pPr>
            <w:r>
              <w:rPr>
                <w:color w:val="14241E"/>
              </w:rPr>
              <w:t>Do not routinely assess risk under 50 unless there are major risk factors (e.g. steroids, early menopause, previous fragility fracture). In people under 40, measure BMD to assess risk where indicated.</w:t>
            </w:r>
          </w:p>
        </w:tc>
      </w:tr>
    </w:tbl>
    <w:p w14:paraId="7A92F6EE" w14:textId="77777777" w:rsidR="00480733" w:rsidRDefault="00000000">
      <w:pPr>
        <w:spacing w:after="120" w:line="276" w:lineRule="auto"/>
      </w:pPr>
      <w:r>
        <w:rPr>
          <w:i/>
          <w:iCs/>
          <w:color w:val="3C5147"/>
          <w:sz w:val="18"/>
          <w:szCs w:val="18"/>
        </w:rPr>
        <w:t>Source: NICE CG146 “Osteoporosis: assessing the risk of fragility fracture” (recommendations 1.4–1.7); NICE Quality Standard QS149.</w:t>
      </w:r>
    </w:p>
    <w:p w14:paraId="23B87991" w14:textId="77777777" w:rsidR="00BE17AD" w:rsidRDefault="00BE17AD">
      <w:pPr>
        <w:rPr>
          <w:b/>
          <w:bCs/>
          <w:color w:val="0A4A38"/>
          <w:sz w:val="27"/>
          <w:szCs w:val="27"/>
        </w:rPr>
      </w:pPr>
      <w:r>
        <w:br w:type="page"/>
      </w:r>
    </w:p>
    <w:p w14:paraId="7318079D" w14:textId="2A3A9024" w:rsidR="00480733" w:rsidRDefault="00000000">
      <w:pPr>
        <w:pStyle w:val="Heading1"/>
      </w:pPr>
      <w:proofErr w:type="gramStart"/>
      <w:r>
        <w:lastRenderedPageBreak/>
        <w:t>7  What</w:t>
      </w:r>
      <w:proofErr w:type="gramEnd"/>
      <w:r>
        <w:t xml:space="preserve"> to do next</w:t>
      </w:r>
      <w:r>
        <w:rPr>
          <w:color w:val="138059"/>
        </w:rPr>
        <w:t>: first-line treatment and safety checks</w:t>
      </w:r>
    </w:p>
    <w:p w14:paraId="7BE8F550" w14:textId="77777777" w:rsidR="00480733" w:rsidRDefault="00000000">
      <w:pPr>
        <w:spacing w:after="120" w:line="276" w:lineRule="auto"/>
      </w:pPr>
      <w:r>
        <w:rPr>
          <w:sz w:val="21"/>
          <w:szCs w:val="21"/>
        </w:rPr>
        <w:t>Once risk and BMD point to treatment, the NICE-based steps are straightforward. Always pair the drug with the surrounding safety checks.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6A07C63A" w14:textId="77777777">
        <w:tblPrEx>
          <w:tblCellMar>
            <w:top w:w="0" w:type="dxa"/>
            <w:bottom w:w="0" w:type="dxa"/>
          </w:tblCellMar>
        </w:tblPrEx>
        <w:tc>
          <w:tcPr>
            <w:tcW w:w="9026" w:type="dxa"/>
            <w:tcBorders>
              <w:top w:val="single" w:sz="4" w:space="0" w:color="A7E6BD"/>
              <w:left w:val="single" w:sz="24" w:space="0" w:color="A7E6BD"/>
              <w:bottom w:val="single" w:sz="4" w:space="0" w:color="A7E6BD"/>
              <w:right w:val="single" w:sz="4" w:space="0" w:color="A7E6BD"/>
            </w:tcBorders>
            <w:shd w:val="clear" w:color="auto" w:fill="DCFCE7"/>
            <w:tcMar>
              <w:top w:w="140" w:type="dxa"/>
              <w:left w:w="200" w:type="dxa"/>
              <w:bottom w:w="140" w:type="dxa"/>
              <w:right w:w="200" w:type="dxa"/>
            </w:tcMar>
          </w:tcPr>
          <w:p w14:paraId="3317F1D4" w14:textId="77777777" w:rsidR="00480733" w:rsidRDefault="00000000">
            <w:pPr>
              <w:spacing w:after="80"/>
            </w:pPr>
            <w:r>
              <w:rPr>
                <w:b/>
                <w:bCs/>
                <w:color w:val="16A34A"/>
                <w:sz w:val="21"/>
                <w:szCs w:val="21"/>
              </w:rPr>
              <w:t>✅ The correct approach (NICE)</w:t>
            </w:r>
          </w:p>
          <w:p w14:paraId="38A51DEB" w14:textId="77777777" w:rsidR="00480733" w:rsidRDefault="00000000">
            <w:pPr>
              <w:spacing w:after="60" w:line="264" w:lineRule="auto"/>
            </w:pPr>
            <w:r>
              <w:rPr>
                <w:color w:val="14241E"/>
              </w:rPr>
              <w:t xml:space="preserve">First-line: an </w:t>
            </w:r>
            <w:r>
              <w:rPr>
                <w:b/>
                <w:bCs/>
                <w:color w:val="14241E"/>
              </w:rPr>
              <w:t>oral bisphosphonate</w:t>
            </w:r>
            <w:r>
              <w:rPr>
                <w:color w:val="14241E"/>
              </w:rPr>
              <w:t xml:space="preserve"> if suitable — </w:t>
            </w:r>
            <w:proofErr w:type="spellStart"/>
            <w:r>
              <w:rPr>
                <w:b/>
                <w:bCs/>
                <w:color w:val="14241E"/>
              </w:rPr>
              <w:t>alendronic</w:t>
            </w:r>
            <w:proofErr w:type="spellEnd"/>
            <w:r>
              <w:rPr>
                <w:b/>
                <w:bCs/>
                <w:color w:val="14241E"/>
              </w:rPr>
              <w:t xml:space="preserve"> acid 70 mg once weekly</w:t>
            </w:r>
            <w:r>
              <w:rPr>
                <w:color w:val="14241E"/>
              </w:rPr>
              <w:t xml:space="preserve"> or </w:t>
            </w:r>
            <w:r>
              <w:rPr>
                <w:b/>
                <w:bCs/>
                <w:color w:val="14241E"/>
              </w:rPr>
              <w:t>risedronate sodium 35 mg once weekly</w:t>
            </w:r>
            <w:r>
              <w:rPr>
                <w:color w:val="14241E"/>
              </w:rPr>
              <w:t>.</w:t>
            </w:r>
          </w:p>
          <w:p w14:paraId="31799A49" w14:textId="77777777" w:rsidR="00480733" w:rsidRDefault="00000000">
            <w:pPr>
              <w:spacing w:after="60" w:line="264" w:lineRule="auto"/>
            </w:pPr>
            <w:r>
              <w:rPr>
                <w:color w:val="14241E"/>
              </w:rPr>
              <w:t>Counsel on administration: take on an empty stomach with a full glass of plain water, stay upright for at least 30 minutes, and wait before food or other drinks.</w:t>
            </w:r>
          </w:p>
          <w:p w14:paraId="2120BB29" w14:textId="77777777" w:rsidR="00480733" w:rsidRDefault="00000000">
            <w:pPr>
              <w:spacing w:after="60" w:line="264" w:lineRule="auto"/>
            </w:pPr>
            <w:r>
              <w:rPr>
                <w:color w:val="14241E"/>
              </w:rPr>
              <w:t xml:space="preserve">Treat </w:t>
            </w:r>
            <w:r>
              <w:rPr>
                <w:b/>
                <w:bCs/>
                <w:color w:val="14241E"/>
              </w:rPr>
              <w:t>without delay</w:t>
            </w:r>
            <w:r>
              <w:rPr>
                <w:color w:val="14241E"/>
              </w:rPr>
              <w:t xml:space="preserve"> after a hip or vertebral fragility fracture, alongside falls prevention.</w:t>
            </w:r>
          </w:p>
          <w:p w14:paraId="7FB8E929" w14:textId="77777777" w:rsidR="00480733" w:rsidRDefault="00000000">
            <w:pPr>
              <w:spacing w:after="60" w:line="264" w:lineRule="auto"/>
            </w:pPr>
            <w:r>
              <w:rPr>
                <w:color w:val="14241E"/>
              </w:rPr>
              <w:t xml:space="preserve">Always check </w:t>
            </w:r>
            <w:r>
              <w:rPr>
                <w:b/>
                <w:bCs/>
                <w:color w:val="14241E"/>
              </w:rPr>
              <w:t>calcium and vitamin D</w:t>
            </w:r>
            <w:r>
              <w:rPr>
                <w:color w:val="14241E"/>
              </w:rPr>
              <w:t xml:space="preserve"> status and correct deficiency; address falls risk.</w:t>
            </w:r>
          </w:p>
          <w:p w14:paraId="73D5BEDB" w14:textId="77777777" w:rsidR="00480733" w:rsidRDefault="00000000">
            <w:pPr>
              <w:spacing w:line="264" w:lineRule="auto"/>
            </w:pPr>
            <w:r>
              <w:rPr>
                <w:color w:val="14241E"/>
              </w:rPr>
              <w:t xml:space="preserve">Review the need to continue an oral bisphosphonate after about </w:t>
            </w:r>
            <w:r>
              <w:rPr>
                <w:b/>
                <w:bCs/>
                <w:color w:val="14241E"/>
              </w:rPr>
              <w:t>5 years</w:t>
            </w:r>
            <w:r>
              <w:rPr>
                <w:color w:val="14241E"/>
              </w:rPr>
              <w:t xml:space="preserve"> (a “drug holiday” may be considered in lower-risk patients, per local protocol).</w:t>
            </w:r>
          </w:p>
        </w:tc>
      </w:tr>
    </w:tbl>
    <w:p w14:paraId="474C83D9" w14:textId="77777777" w:rsidR="00480733" w:rsidRDefault="00000000">
      <w:pPr>
        <w:spacing w:after="120" w:line="276" w:lineRule="auto"/>
      </w:pPr>
      <w:r>
        <w:rPr>
          <w:i/>
          <w:iCs/>
          <w:color w:val="3C5147"/>
          <w:sz w:val="18"/>
          <w:szCs w:val="18"/>
        </w:rPr>
        <w:t>Source: NICE TA464 “Bisphosphonates for treating osteoporosis”; NICE Quality Standard QS149 (long-term review); doses confirmed against the BNF. Choice and dosing must follow your local formulary and check renal function and contraindications.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55D5A896" w14:textId="77777777">
        <w:tblPrEx>
          <w:tblCellMar>
            <w:top w:w="0" w:type="dxa"/>
            <w:bottom w:w="0" w:type="dxa"/>
          </w:tblCellMar>
        </w:tblPrEx>
        <w:tc>
          <w:tcPr>
            <w:tcW w:w="9026" w:type="dxa"/>
            <w:tcBorders>
              <w:top w:val="single" w:sz="4" w:space="0" w:color="F3B6B0"/>
              <w:left w:val="single" w:sz="24" w:space="0" w:color="F3B6B0"/>
              <w:bottom w:val="single" w:sz="4" w:space="0" w:color="F3B6B0"/>
              <w:right w:val="single" w:sz="4" w:space="0" w:color="F3B6B0"/>
            </w:tcBorders>
            <w:shd w:val="clear" w:color="auto" w:fill="FDE3E0"/>
            <w:tcMar>
              <w:top w:w="140" w:type="dxa"/>
              <w:left w:w="200" w:type="dxa"/>
              <w:bottom w:w="140" w:type="dxa"/>
              <w:right w:w="200" w:type="dxa"/>
            </w:tcMar>
          </w:tcPr>
          <w:p w14:paraId="5D6B016F" w14:textId="77777777" w:rsidR="00480733" w:rsidRDefault="00000000">
            <w:pPr>
              <w:spacing w:after="80"/>
            </w:pPr>
            <w:r>
              <w:rPr>
                <w:b/>
                <w:bCs/>
                <w:color w:val="B91C1C"/>
                <w:sz w:val="21"/>
                <w:szCs w:val="21"/>
              </w:rPr>
              <w:t>🛑 Common mistakes to avoid</w:t>
            </w:r>
          </w:p>
          <w:p w14:paraId="6D22E4DA" w14:textId="77777777" w:rsidR="00480733" w:rsidRDefault="00000000">
            <w:pPr>
              <w:spacing w:after="60" w:line="264" w:lineRule="auto"/>
            </w:pPr>
            <w:r>
              <w:rPr>
                <w:color w:val="14241E"/>
              </w:rPr>
              <w:t xml:space="preserve">Treating an isolated </w:t>
            </w:r>
            <w:proofErr w:type="spellStart"/>
            <w:r>
              <w:rPr>
                <w:color w:val="14241E"/>
              </w:rPr>
              <w:t>osteopenic</w:t>
            </w:r>
            <w:proofErr w:type="spellEnd"/>
            <w:r>
              <w:rPr>
                <w:color w:val="14241E"/>
              </w:rPr>
              <w:t xml:space="preserve"> T-score without recalculating fracture risk.</w:t>
            </w:r>
          </w:p>
          <w:p w14:paraId="6EB25DC1" w14:textId="77777777" w:rsidR="00480733" w:rsidRDefault="00000000">
            <w:pPr>
              <w:spacing w:after="60" w:line="264" w:lineRule="auto"/>
            </w:pPr>
            <w:r>
              <w:rPr>
                <w:color w:val="14241E"/>
              </w:rPr>
              <w:t>Scanning before doing a FRAX/</w:t>
            </w:r>
            <w:proofErr w:type="spellStart"/>
            <w:r>
              <w:rPr>
                <w:color w:val="14241E"/>
              </w:rPr>
              <w:t>QFracture</w:t>
            </w:r>
            <w:proofErr w:type="spellEnd"/>
            <w:r>
              <w:rPr>
                <w:color w:val="14241E"/>
              </w:rPr>
              <w:t xml:space="preserve"> assessment.</w:t>
            </w:r>
          </w:p>
          <w:p w14:paraId="4BC397F1" w14:textId="77777777" w:rsidR="00480733" w:rsidRDefault="00000000">
            <w:pPr>
              <w:spacing w:after="60" w:line="264" w:lineRule="auto"/>
            </w:pPr>
            <w:r>
              <w:rPr>
                <w:color w:val="14241E"/>
              </w:rPr>
              <w:t>Reading the T-score in a young patient instead of the Z-score.</w:t>
            </w:r>
          </w:p>
          <w:p w14:paraId="29A8E8DF" w14:textId="77777777" w:rsidR="00480733" w:rsidRDefault="00000000">
            <w:pPr>
              <w:spacing w:after="60" w:line="264" w:lineRule="auto"/>
            </w:pPr>
            <w:r>
              <w:rPr>
                <w:color w:val="14241E"/>
              </w:rPr>
              <w:t>Seeing a low Z-score and starting a bisphosphonate without looking for a secondary cause.</w:t>
            </w:r>
          </w:p>
          <w:p w14:paraId="4FFA7134" w14:textId="77777777" w:rsidR="00480733" w:rsidRDefault="00000000">
            <w:pPr>
              <w:spacing w:line="264" w:lineRule="auto"/>
            </w:pPr>
            <w:r>
              <w:rPr>
                <w:color w:val="14241E"/>
              </w:rPr>
              <w:t>Forgetting calcium/vitamin D status and falls risk.</w:t>
            </w:r>
          </w:p>
        </w:tc>
      </w:tr>
      <w:tr w:rsidR="00480733" w14:paraId="24F69385" w14:textId="77777777">
        <w:tblPrEx>
          <w:tblCellMar>
            <w:top w:w="0" w:type="dxa"/>
            <w:bottom w:w="0" w:type="dxa"/>
          </w:tblCellMar>
        </w:tblPrEx>
        <w:tc>
          <w:tcPr>
            <w:tcW w:w="9026" w:type="dxa"/>
            <w:tcBorders>
              <w:top w:val="single" w:sz="4" w:space="0" w:color="F4B6D5"/>
              <w:left w:val="single" w:sz="24" w:space="0" w:color="F4B6D5"/>
              <w:bottom w:val="single" w:sz="4" w:space="0" w:color="F4B6D5"/>
              <w:right w:val="single" w:sz="4" w:space="0" w:color="F4B6D5"/>
            </w:tcBorders>
            <w:shd w:val="clear" w:color="auto" w:fill="FCE3F1"/>
            <w:tcMar>
              <w:top w:w="140" w:type="dxa"/>
              <w:left w:w="200" w:type="dxa"/>
              <w:bottom w:w="140" w:type="dxa"/>
              <w:right w:w="200" w:type="dxa"/>
            </w:tcMar>
          </w:tcPr>
          <w:p w14:paraId="00B17463" w14:textId="77777777" w:rsidR="00480733" w:rsidRDefault="00000000">
            <w:pPr>
              <w:spacing w:after="80"/>
            </w:pPr>
            <w:r>
              <w:rPr>
                <w:b/>
                <w:bCs/>
                <w:color w:val="BE185D"/>
                <w:sz w:val="21"/>
                <w:szCs w:val="21"/>
              </w:rPr>
              <w:t>💬 A phrase you can use with patients</w:t>
            </w:r>
          </w:p>
          <w:p w14:paraId="32CAB10A" w14:textId="77777777" w:rsidR="00480733" w:rsidRDefault="00000000">
            <w:pPr>
              <w:spacing w:line="264" w:lineRule="auto"/>
            </w:pPr>
            <w:r>
              <w:rPr>
                <w:i/>
                <w:iCs/>
                <w:color w:val="14241E"/>
              </w:rPr>
              <w:t>“The scan compares your bones in two ways — against a healthy young adult, and against people your own age. That tells us both how strong your bones are now and whether anything unusual is going on. Let’s talk about what we can do to keep them strong.”</w:t>
            </w:r>
          </w:p>
        </w:tc>
      </w:tr>
    </w:tbl>
    <w:p w14:paraId="18EA9BB3" w14:textId="77777777" w:rsidR="00BE17AD" w:rsidRDefault="00BE17AD">
      <w:pPr>
        <w:pStyle w:val="Heading1"/>
      </w:pPr>
    </w:p>
    <w:p w14:paraId="3F954C73" w14:textId="77777777" w:rsidR="00BE17AD" w:rsidRDefault="00BE17AD">
      <w:pPr>
        <w:rPr>
          <w:b/>
          <w:bCs/>
          <w:color w:val="0A4A38"/>
          <w:sz w:val="27"/>
          <w:szCs w:val="27"/>
        </w:rPr>
      </w:pPr>
      <w:r>
        <w:br w:type="page"/>
      </w:r>
    </w:p>
    <w:p w14:paraId="22860DDA" w14:textId="7B63D2A7" w:rsidR="00480733" w:rsidRDefault="00000000">
      <w:pPr>
        <w:pStyle w:val="Heading1"/>
      </w:pPr>
      <w:proofErr w:type="gramStart"/>
      <w:r>
        <w:lastRenderedPageBreak/>
        <w:t>8  Quick</w:t>
      </w:r>
      <w:proofErr w:type="gramEnd"/>
      <w:r>
        <w:t xml:space="preserve"> self-</w:t>
      </w:r>
      <w:proofErr w:type="gramStart"/>
      <w:r>
        <w:t>test</w:t>
      </w:r>
      <w:proofErr w:type="gramEnd"/>
      <w:r>
        <w:rPr>
          <w:color w:val="138059"/>
        </w:rPr>
        <w:t>: cover the answers and try first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1B9A2541" w14:textId="77777777">
        <w:tblPrEx>
          <w:tblCellMar>
            <w:top w:w="0" w:type="dxa"/>
            <w:bottom w:w="0" w:type="dxa"/>
          </w:tblCellMar>
        </w:tblPrEx>
        <w:tc>
          <w:tcPr>
            <w:tcW w:w="9026" w:type="dxa"/>
            <w:tcBorders>
              <w:top w:val="single" w:sz="4" w:space="0" w:color="138059"/>
              <w:left w:val="single" w:sz="24" w:space="0" w:color="138059"/>
              <w:bottom w:val="single" w:sz="4" w:space="0" w:color="138059"/>
              <w:right w:val="single" w:sz="4" w:space="0" w:color="138059"/>
            </w:tcBorders>
            <w:shd w:val="clear" w:color="auto" w:fill="EDFAF5"/>
            <w:tcMar>
              <w:top w:w="140" w:type="dxa"/>
              <w:left w:w="200" w:type="dxa"/>
              <w:bottom w:w="140" w:type="dxa"/>
              <w:right w:w="200" w:type="dxa"/>
            </w:tcMar>
          </w:tcPr>
          <w:p w14:paraId="0BCE2CB1" w14:textId="77777777" w:rsidR="00480733" w:rsidRDefault="00000000">
            <w:pPr>
              <w:spacing w:after="80"/>
            </w:pPr>
            <w:r>
              <w:rPr>
                <w:b/>
                <w:bCs/>
                <w:color w:val="0A4A38"/>
                <w:sz w:val="21"/>
                <w:szCs w:val="21"/>
              </w:rPr>
              <w:t>Q1. A T-score of −2.5 or lower means…</w:t>
            </w:r>
          </w:p>
          <w:p w14:paraId="7F953EE0" w14:textId="77777777" w:rsidR="00480733" w:rsidRDefault="00000000">
            <w:pPr>
              <w:spacing w:line="264" w:lineRule="auto"/>
            </w:pPr>
            <w:r>
              <w:rPr>
                <w:b/>
                <w:bCs/>
                <w:color w:val="138059"/>
              </w:rPr>
              <w:t xml:space="preserve">Answer: </w:t>
            </w:r>
            <w:r>
              <w:rPr>
                <w:color w:val="14241E"/>
              </w:rPr>
              <w:t>Osteoporosis. With a fragility fracture, it is severe (established) osteoporosis.</w:t>
            </w:r>
          </w:p>
        </w:tc>
      </w:tr>
    </w:tbl>
    <w:p w14:paraId="0393F2E1" w14:textId="77777777" w:rsidR="00480733" w:rsidRDefault="00480733">
      <w:pPr>
        <w:spacing w:after="3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406DCB78" w14:textId="77777777">
        <w:tblPrEx>
          <w:tblCellMar>
            <w:top w:w="0" w:type="dxa"/>
            <w:bottom w:w="0" w:type="dxa"/>
          </w:tblCellMar>
        </w:tblPrEx>
        <w:tc>
          <w:tcPr>
            <w:tcW w:w="9026" w:type="dxa"/>
            <w:tcBorders>
              <w:top w:val="single" w:sz="4" w:space="0" w:color="138059"/>
              <w:left w:val="single" w:sz="24" w:space="0" w:color="138059"/>
              <w:bottom w:val="single" w:sz="4" w:space="0" w:color="138059"/>
              <w:right w:val="single" w:sz="4" w:space="0" w:color="138059"/>
            </w:tcBorders>
            <w:shd w:val="clear" w:color="auto" w:fill="EDFAF5"/>
            <w:tcMar>
              <w:top w:w="140" w:type="dxa"/>
              <w:left w:w="200" w:type="dxa"/>
              <w:bottom w:w="140" w:type="dxa"/>
              <w:right w:w="200" w:type="dxa"/>
            </w:tcMar>
          </w:tcPr>
          <w:p w14:paraId="5DD9410F" w14:textId="77777777" w:rsidR="00480733" w:rsidRDefault="00000000">
            <w:pPr>
              <w:spacing w:after="80"/>
            </w:pPr>
            <w:r>
              <w:rPr>
                <w:b/>
                <w:bCs/>
                <w:color w:val="0A4A38"/>
                <w:sz w:val="21"/>
                <w:szCs w:val="21"/>
              </w:rPr>
              <w:t>Q2. Which score do you read for a 40-year-old premenopausal woman?</w:t>
            </w:r>
          </w:p>
          <w:p w14:paraId="72A1B370" w14:textId="77777777" w:rsidR="00480733" w:rsidRDefault="00000000">
            <w:pPr>
              <w:spacing w:line="264" w:lineRule="auto"/>
            </w:pPr>
            <w:r>
              <w:rPr>
                <w:b/>
                <w:bCs/>
                <w:color w:val="138059"/>
              </w:rPr>
              <w:t xml:space="preserve">Answer: </w:t>
            </w:r>
            <w:r>
              <w:rPr>
                <w:color w:val="14241E"/>
              </w:rPr>
              <w:t>The Z-score — and if it is ≤ −2.0, look for a secondary cause.</w:t>
            </w:r>
          </w:p>
        </w:tc>
      </w:tr>
    </w:tbl>
    <w:p w14:paraId="4F239721" w14:textId="77777777" w:rsidR="00480733" w:rsidRDefault="00480733">
      <w:pPr>
        <w:spacing w:after="3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300E2112" w14:textId="77777777">
        <w:tblPrEx>
          <w:tblCellMar>
            <w:top w:w="0" w:type="dxa"/>
            <w:bottom w:w="0" w:type="dxa"/>
          </w:tblCellMar>
        </w:tblPrEx>
        <w:tc>
          <w:tcPr>
            <w:tcW w:w="9026" w:type="dxa"/>
            <w:tcBorders>
              <w:top w:val="single" w:sz="4" w:space="0" w:color="138059"/>
              <w:left w:val="single" w:sz="24" w:space="0" w:color="138059"/>
              <w:bottom w:val="single" w:sz="4" w:space="0" w:color="138059"/>
              <w:right w:val="single" w:sz="4" w:space="0" w:color="138059"/>
            </w:tcBorders>
            <w:shd w:val="clear" w:color="auto" w:fill="EDFAF5"/>
            <w:tcMar>
              <w:top w:w="140" w:type="dxa"/>
              <w:left w:w="200" w:type="dxa"/>
              <w:bottom w:w="140" w:type="dxa"/>
              <w:right w:w="200" w:type="dxa"/>
            </w:tcMar>
          </w:tcPr>
          <w:p w14:paraId="2369B358" w14:textId="77777777" w:rsidR="00480733" w:rsidRDefault="00000000">
            <w:pPr>
              <w:spacing w:after="80"/>
            </w:pPr>
            <w:r>
              <w:rPr>
                <w:b/>
                <w:bCs/>
                <w:color w:val="0A4A38"/>
                <w:sz w:val="21"/>
                <w:szCs w:val="21"/>
              </w:rPr>
              <w:t xml:space="preserve">Q3. True or false: you should arrange a DXA scan before doing a FRAX or </w:t>
            </w:r>
            <w:proofErr w:type="spellStart"/>
            <w:r>
              <w:rPr>
                <w:b/>
                <w:bCs/>
                <w:color w:val="0A4A38"/>
                <w:sz w:val="21"/>
                <w:szCs w:val="21"/>
              </w:rPr>
              <w:t>QFracture</w:t>
            </w:r>
            <w:proofErr w:type="spellEnd"/>
            <w:r>
              <w:rPr>
                <w:b/>
                <w:bCs/>
                <w:color w:val="0A4A38"/>
                <w:sz w:val="21"/>
                <w:szCs w:val="21"/>
              </w:rPr>
              <w:t xml:space="preserve"> assessment.</w:t>
            </w:r>
          </w:p>
          <w:p w14:paraId="2911EF17" w14:textId="77777777" w:rsidR="00480733" w:rsidRDefault="00000000">
            <w:pPr>
              <w:spacing w:line="264" w:lineRule="auto"/>
            </w:pPr>
            <w:r>
              <w:rPr>
                <w:b/>
                <w:bCs/>
                <w:color w:val="138059"/>
              </w:rPr>
              <w:t xml:space="preserve">Answer: </w:t>
            </w:r>
            <w:r>
              <w:rPr>
                <w:color w:val="14241E"/>
              </w:rPr>
              <w:t>False. NICE says assess fracture risk first; arrange DXA when the risk is around the intervention threshold.</w:t>
            </w:r>
          </w:p>
        </w:tc>
      </w:tr>
    </w:tbl>
    <w:p w14:paraId="29176F9B" w14:textId="77777777" w:rsidR="00480733" w:rsidRDefault="00480733">
      <w:pPr>
        <w:spacing w:after="3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5F5DECBE" w14:textId="77777777">
        <w:tblPrEx>
          <w:tblCellMar>
            <w:top w:w="0" w:type="dxa"/>
            <w:bottom w:w="0" w:type="dxa"/>
          </w:tblCellMar>
        </w:tblPrEx>
        <w:tc>
          <w:tcPr>
            <w:tcW w:w="9026" w:type="dxa"/>
            <w:tcBorders>
              <w:top w:val="single" w:sz="4" w:space="0" w:color="138059"/>
              <w:left w:val="single" w:sz="24" w:space="0" w:color="138059"/>
              <w:bottom w:val="single" w:sz="4" w:space="0" w:color="138059"/>
              <w:right w:val="single" w:sz="4" w:space="0" w:color="138059"/>
            </w:tcBorders>
            <w:shd w:val="clear" w:color="auto" w:fill="EDFAF5"/>
            <w:tcMar>
              <w:top w:w="140" w:type="dxa"/>
              <w:left w:w="200" w:type="dxa"/>
              <w:bottom w:w="140" w:type="dxa"/>
              <w:right w:w="200" w:type="dxa"/>
            </w:tcMar>
          </w:tcPr>
          <w:p w14:paraId="03214C67" w14:textId="77777777" w:rsidR="00480733" w:rsidRDefault="00000000">
            <w:pPr>
              <w:spacing w:after="80"/>
            </w:pPr>
            <w:r>
              <w:rPr>
                <w:b/>
                <w:bCs/>
                <w:color w:val="0A4A38"/>
                <w:sz w:val="21"/>
                <w:szCs w:val="21"/>
              </w:rPr>
              <w:t>Q4. What does a T-score of −1.4 represent, and what is the next step?</w:t>
            </w:r>
          </w:p>
          <w:p w14:paraId="2F7CBCA6" w14:textId="77777777" w:rsidR="00480733" w:rsidRDefault="00000000">
            <w:pPr>
              <w:spacing w:line="264" w:lineRule="auto"/>
            </w:pPr>
            <w:r>
              <w:rPr>
                <w:b/>
                <w:bCs/>
                <w:color w:val="138059"/>
              </w:rPr>
              <w:t xml:space="preserve">Answer: </w:t>
            </w:r>
            <w:r>
              <w:rPr>
                <w:color w:val="14241E"/>
              </w:rPr>
              <w:t>Osteopenia. Recalculate FRAX with the BMD value and act on the recalculated risk against the local/NOGG threshold.</w:t>
            </w:r>
          </w:p>
        </w:tc>
      </w:tr>
    </w:tbl>
    <w:p w14:paraId="31502DF5" w14:textId="77777777" w:rsidR="00480733" w:rsidRDefault="00480733">
      <w:pPr>
        <w:spacing w:after="3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4D373210" w14:textId="77777777">
        <w:tblPrEx>
          <w:tblCellMar>
            <w:top w:w="0" w:type="dxa"/>
            <w:bottom w:w="0" w:type="dxa"/>
          </w:tblCellMar>
        </w:tblPrEx>
        <w:tc>
          <w:tcPr>
            <w:tcW w:w="9026" w:type="dxa"/>
            <w:tcBorders>
              <w:top w:val="single" w:sz="4" w:space="0" w:color="138059"/>
              <w:left w:val="single" w:sz="24" w:space="0" w:color="138059"/>
              <w:bottom w:val="single" w:sz="4" w:space="0" w:color="138059"/>
              <w:right w:val="single" w:sz="4" w:space="0" w:color="138059"/>
            </w:tcBorders>
            <w:shd w:val="clear" w:color="auto" w:fill="EDFAF5"/>
            <w:tcMar>
              <w:top w:w="140" w:type="dxa"/>
              <w:left w:w="200" w:type="dxa"/>
              <w:bottom w:w="140" w:type="dxa"/>
              <w:right w:w="200" w:type="dxa"/>
            </w:tcMar>
          </w:tcPr>
          <w:p w14:paraId="6BFFF049" w14:textId="77777777" w:rsidR="00480733" w:rsidRDefault="00000000">
            <w:pPr>
              <w:spacing w:after="80"/>
            </w:pPr>
            <w:r>
              <w:rPr>
                <w:b/>
                <w:bCs/>
                <w:color w:val="0A4A38"/>
                <w:sz w:val="21"/>
                <w:szCs w:val="21"/>
              </w:rPr>
              <w:t>Q5. First-line drug treatment for osteoporosis on the NICE pathway?</w:t>
            </w:r>
          </w:p>
          <w:p w14:paraId="54B20A05" w14:textId="77777777" w:rsidR="00480733" w:rsidRDefault="00000000">
            <w:pPr>
              <w:spacing w:line="264" w:lineRule="auto"/>
            </w:pPr>
            <w:r>
              <w:rPr>
                <w:b/>
                <w:bCs/>
                <w:color w:val="138059"/>
              </w:rPr>
              <w:t xml:space="preserve">Answer: </w:t>
            </w:r>
            <w:r>
              <w:rPr>
                <w:color w:val="14241E"/>
              </w:rPr>
              <w:t xml:space="preserve">An oral bisphosphonate if suitable — </w:t>
            </w:r>
            <w:proofErr w:type="spellStart"/>
            <w:r>
              <w:rPr>
                <w:color w:val="14241E"/>
              </w:rPr>
              <w:t>alendronic</w:t>
            </w:r>
            <w:proofErr w:type="spellEnd"/>
            <w:r>
              <w:rPr>
                <w:color w:val="14241E"/>
              </w:rPr>
              <w:t xml:space="preserve"> acid 70 mg weekly or risedronate 35 mg weekly — with calcium/vitamin D checks and falls assessment.</w:t>
            </w:r>
          </w:p>
        </w:tc>
      </w:tr>
    </w:tbl>
    <w:p w14:paraId="45EC476A" w14:textId="77777777" w:rsidR="00BE17AD" w:rsidRDefault="00BE17AD">
      <w:pPr>
        <w:pStyle w:val="Heading1"/>
      </w:pPr>
    </w:p>
    <w:p w14:paraId="09136AFD" w14:textId="77777777" w:rsidR="00BE17AD" w:rsidRDefault="00BE17AD">
      <w:pPr>
        <w:rPr>
          <w:b/>
          <w:bCs/>
          <w:color w:val="0A4A38"/>
          <w:sz w:val="27"/>
          <w:szCs w:val="27"/>
        </w:rPr>
      </w:pPr>
      <w:r>
        <w:br w:type="page"/>
      </w:r>
    </w:p>
    <w:p w14:paraId="59887E41" w14:textId="147C8BFF" w:rsidR="00480733" w:rsidRDefault="00000000">
      <w:pPr>
        <w:pStyle w:val="Heading1"/>
      </w:pPr>
      <w:r>
        <w:lastRenderedPageBreak/>
        <w:t>Take-home points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3D25C1B3" w14:textId="77777777">
        <w:tblPrEx>
          <w:tblCellMar>
            <w:top w:w="0" w:type="dxa"/>
            <w:bottom w:w="0" w:type="dxa"/>
          </w:tblCellMar>
        </w:tblPrEx>
        <w:tc>
          <w:tcPr>
            <w:tcW w:w="9026" w:type="dxa"/>
            <w:tcBorders>
              <w:top w:val="single" w:sz="4" w:space="0" w:color="A7E6BD"/>
              <w:left w:val="single" w:sz="24" w:space="0" w:color="A7E6BD"/>
              <w:bottom w:val="single" w:sz="4" w:space="0" w:color="A7E6BD"/>
              <w:right w:val="single" w:sz="4" w:space="0" w:color="A7E6BD"/>
            </w:tcBorders>
            <w:shd w:val="clear" w:color="auto" w:fill="DCFCE7"/>
            <w:tcMar>
              <w:top w:w="140" w:type="dxa"/>
              <w:left w:w="200" w:type="dxa"/>
              <w:bottom w:w="140" w:type="dxa"/>
              <w:right w:w="200" w:type="dxa"/>
            </w:tcMar>
          </w:tcPr>
          <w:p w14:paraId="646079C6" w14:textId="77777777" w:rsidR="00480733" w:rsidRDefault="00000000">
            <w:pPr>
              <w:spacing w:after="80"/>
            </w:pPr>
            <w:r>
              <w:rPr>
                <w:b/>
                <w:bCs/>
                <w:color w:val="138059"/>
                <w:sz w:val="21"/>
                <w:szCs w:val="21"/>
              </w:rPr>
              <w:t>📌 The whole lesson in nine lines</w:t>
            </w:r>
          </w:p>
          <w:p w14:paraId="642C8BED" w14:textId="77777777" w:rsidR="00480733" w:rsidRDefault="00000000">
            <w:pPr>
              <w:spacing w:after="60" w:line="264" w:lineRule="auto"/>
            </w:pPr>
            <w:r>
              <w:rPr>
                <w:color w:val="14241E"/>
              </w:rPr>
              <w:t>DXA measures bone density (BMD) and reports two scores from one scan.</w:t>
            </w:r>
          </w:p>
          <w:p w14:paraId="1C00EBA0" w14:textId="77777777" w:rsidR="00480733" w:rsidRDefault="00000000">
            <w:pPr>
              <w:spacing w:after="60" w:line="264" w:lineRule="auto"/>
            </w:pPr>
            <w:r>
              <w:rPr>
                <w:color w:val="14241E"/>
              </w:rPr>
              <w:t>T = THIRTY: compared with a healthy young adult; used to DIAGNOSE.</w:t>
            </w:r>
          </w:p>
          <w:p w14:paraId="6A5C1B82" w14:textId="77777777" w:rsidR="00480733" w:rsidRDefault="00000000">
            <w:pPr>
              <w:spacing w:after="60" w:line="264" w:lineRule="auto"/>
            </w:pPr>
            <w:r>
              <w:rPr>
                <w:color w:val="14241E"/>
              </w:rPr>
              <w:t xml:space="preserve">Z = your own </w:t>
            </w:r>
            <w:proofErr w:type="spellStart"/>
            <w:r>
              <w:rPr>
                <w:color w:val="14241E"/>
              </w:rPr>
              <w:t>aZe</w:t>
            </w:r>
            <w:proofErr w:type="spellEnd"/>
            <w:r>
              <w:rPr>
                <w:color w:val="14241E"/>
              </w:rPr>
              <w:t>: compared with same-age peers; used to INVESTIGATE.</w:t>
            </w:r>
          </w:p>
          <w:p w14:paraId="6A9847E1" w14:textId="77777777" w:rsidR="00480733" w:rsidRDefault="00000000">
            <w:pPr>
              <w:spacing w:after="60" w:line="264" w:lineRule="auto"/>
            </w:pPr>
            <w:r>
              <w:rPr>
                <w:color w:val="14241E"/>
              </w:rPr>
              <w:t>T-score bands: Normal ≥ −1 · Osteopenia −1 to −2.5 · Osteoporosis ≤ −2.5.</w:t>
            </w:r>
          </w:p>
          <w:p w14:paraId="6F0A7407" w14:textId="77777777" w:rsidR="00480733" w:rsidRDefault="00000000">
            <w:pPr>
              <w:spacing w:after="60" w:line="264" w:lineRule="auto"/>
            </w:pPr>
            <w:r>
              <w:rPr>
                <w:color w:val="14241E"/>
              </w:rPr>
              <w:t>≤ −2.5 plus a fragility fracture = severe osteoporosis.</w:t>
            </w:r>
          </w:p>
          <w:p w14:paraId="7F1222F4" w14:textId="77777777" w:rsidR="00480733" w:rsidRDefault="00000000">
            <w:pPr>
              <w:spacing w:after="60" w:line="264" w:lineRule="auto"/>
            </w:pPr>
            <w:r>
              <w:rPr>
                <w:color w:val="14241E"/>
              </w:rPr>
              <w:t>Z ≤ −2.0 = below expected for age → look for a secondary cause.</w:t>
            </w:r>
          </w:p>
          <w:p w14:paraId="75D3F8ED" w14:textId="77777777" w:rsidR="00480733" w:rsidRDefault="00000000">
            <w:pPr>
              <w:spacing w:after="60" w:line="264" w:lineRule="auto"/>
            </w:pPr>
            <w:r>
              <w:rPr>
                <w:color w:val="14241E"/>
              </w:rPr>
              <w:t>Use the T-score for older adults; the Z-score for younger patients and children.</w:t>
            </w:r>
          </w:p>
          <w:p w14:paraId="600199E7" w14:textId="77777777" w:rsidR="00480733" w:rsidRDefault="00000000">
            <w:pPr>
              <w:spacing w:after="60" w:line="264" w:lineRule="auto"/>
            </w:pPr>
            <w:r>
              <w:rPr>
                <w:color w:val="14241E"/>
              </w:rPr>
              <w:t>Assess risk with FRAX/</w:t>
            </w:r>
            <w:proofErr w:type="spellStart"/>
            <w:r>
              <w:rPr>
                <w:color w:val="14241E"/>
              </w:rPr>
              <w:t>QFracture</w:t>
            </w:r>
            <w:proofErr w:type="spellEnd"/>
            <w:r>
              <w:rPr>
                <w:color w:val="14241E"/>
              </w:rPr>
              <w:t xml:space="preserve"> first; the scan sharpens the decision.</w:t>
            </w:r>
          </w:p>
          <w:p w14:paraId="387A0BDC" w14:textId="77777777" w:rsidR="00480733" w:rsidRDefault="00000000">
            <w:pPr>
              <w:spacing w:line="264" w:lineRule="auto"/>
            </w:pPr>
            <w:r>
              <w:rPr>
                <w:color w:val="14241E"/>
              </w:rPr>
              <w:t>First-line treatment is an oral bisphosphonate, with calcium/vitamin D and falls checks.</w:t>
            </w:r>
          </w:p>
        </w:tc>
      </w:tr>
    </w:tbl>
    <w:p w14:paraId="6C84D481" w14:textId="77777777" w:rsidR="00480733" w:rsidRDefault="00480733">
      <w:pPr>
        <w:spacing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480733" w14:paraId="50C919BA" w14:textId="77777777">
        <w:tblPrEx>
          <w:tblCellMar>
            <w:top w:w="0" w:type="dxa"/>
            <w:bottom w:w="0" w:type="dxa"/>
          </w:tblCellMar>
        </w:tblPrEx>
        <w:tc>
          <w:tcPr>
            <w:tcW w:w="9026" w:type="dxa"/>
            <w:tcBorders>
              <w:top w:val="single" w:sz="4" w:space="0" w:color="0A4A38"/>
              <w:left w:val="single" w:sz="24" w:space="0" w:color="0A4A38"/>
              <w:bottom w:val="single" w:sz="4" w:space="0" w:color="0A4A38"/>
              <w:right w:val="single" w:sz="4" w:space="0" w:color="0A4A38"/>
            </w:tcBorders>
            <w:shd w:val="clear" w:color="auto" w:fill="0F6449"/>
            <w:tcMar>
              <w:top w:w="140" w:type="dxa"/>
              <w:left w:w="200" w:type="dxa"/>
              <w:bottom w:w="140" w:type="dxa"/>
              <w:right w:w="200" w:type="dxa"/>
            </w:tcMar>
          </w:tcPr>
          <w:p w14:paraId="3ED948F5" w14:textId="77777777" w:rsidR="00480733" w:rsidRDefault="00000000">
            <w:pPr>
              <w:spacing w:after="80"/>
            </w:pPr>
            <w:r>
              <w:rPr>
                <w:b/>
                <w:bCs/>
                <w:color w:val="FFFFFF"/>
                <w:sz w:val="21"/>
                <w:szCs w:val="21"/>
              </w:rPr>
              <w:t>⭐ One sentence to keep</w:t>
            </w:r>
          </w:p>
          <w:p w14:paraId="30D0AEA7" w14:textId="77777777" w:rsidR="00480733" w:rsidRDefault="00000000">
            <w:pPr>
              <w:spacing w:line="264" w:lineRule="auto"/>
            </w:pPr>
            <w:r>
              <w:rPr>
                <w:b/>
                <w:bCs/>
                <w:color w:val="FFFFFF"/>
              </w:rPr>
              <w:t>T-score diagnoses (versus a 30-year-old), Z-score investigates (versus your own age) — and the two numbers that matter are −1 and −2.5.</w:t>
            </w:r>
          </w:p>
        </w:tc>
      </w:tr>
    </w:tbl>
    <w:p w14:paraId="4DECE556" w14:textId="77777777" w:rsidR="00480733" w:rsidRDefault="00000000">
      <w:pPr>
        <w:pStyle w:val="Heading1"/>
      </w:pPr>
      <w:r>
        <w:t>Sources (NICE-based)</w:t>
      </w:r>
    </w:p>
    <w:p w14:paraId="1426FC3F" w14:textId="77777777" w:rsidR="00480733" w:rsidRDefault="00000000">
      <w:pPr>
        <w:pStyle w:val="ListParagraph"/>
        <w:numPr>
          <w:ilvl w:val="0"/>
          <w:numId w:val="2"/>
        </w:numPr>
        <w:spacing w:after="60" w:line="264" w:lineRule="auto"/>
      </w:pPr>
      <w:r>
        <w:t>NICE CKS. Osteoporosis – prevention of fragility fractures (WHO BMD categories; risk assessment).</w:t>
      </w:r>
    </w:p>
    <w:p w14:paraId="36A7B4DC" w14:textId="77777777" w:rsidR="00480733" w:rsidRDefault="00000000">
      <w:pPr>
        <w:pStyle w:val="ListParagraph"/>
        <w:numPr>
          <w:ilvl w:val="0"/>
          <w:numId w:val="2"/>
        </w:numPr>
        <w:spacing w:after="60" w:line="264" w:lineRule="auto"/>
      </w:pPr>
      <w:r>
        <w:t>NICE CG146. Osteoporosis: assessing the risk of fragility fracture (FRAX/</w:t>
      </w:r>
      <w:proofErr w:type="spellStart"/>
      <w:r>
        <w:t>QFracture</w:t>
      </w:r>
      <w:proofErr w:type="spellEnd"/>
      <w:r>
        <w:t>; when to measure BMD with DXA; recommendations 1.4–1.7).</w:t>
      </w:r>
    </w:p>
    <w:p w14:paraId="5AD229B2" w14:textId="77777777" w:rsidR="00480733" w:rsidRDefault="00000000">
      <w:pPr>
        <w:pStyle w:val="ListParagraph"/>
        <w:numPr>
          <w:ilvl w:val="0"/>
          <w:numId w:val="2"/>
        </w:numPr>
        <w:spacing w:after="60" w:line="264" w:lineRule="auto"/>
      </w:pPr>
      <w:r>
        <w:t>NICE Quality Standard QS149. Osteoporosis (risk assessment and long-term review).</w:t>
      </w:r>
    </w:p>
    <w:p w14:paraId="4B968055" w14:textId="77777777" w:rsidR="00480733" w:rsidRDefault="00000000">
      <w:pPr>
        <w:pStyle w:val="ListParagraph"/>
        <w:numPr>
          <w:ilvl w:val="0"/>
          <w:numId w:val="2"/>
        </w:numPr>
        <w:spacing w:after="60" w:line="264" w:lineRule="auto"/>
      </w:pPr>
      <w:r>
        <w:t>NICE TA464. Bisphosphonates for treating osteoporosis (first-line treatment options).</w:t>
      </w:r>
    </w:p>
    <w:p w14:paraId="67C62195" w14:textId="77777777" w:rsidR="00480733" w:rsidRDefault="00000000">
      <w:pPr>
        <w:pStyle w:val="ListParagraph"/>
        <w:numPr>
          <w:ilvl w:val="0"/>
          <w:numId w:val="2"/>
        </w:numPr>
        <w:spacing w:after="60" w:line="264" w:lineRule="auto"/>
      </w:pPr>
      <w:r>
        <w:t xml:space="preserve">BNF. </w:t>
      </w:r>
      <w:proofErr w:type="spellStart"/>
      <w:r>
        <w:t>Alendronic</w:t>
      </w:r>
      <w:proofErr w:type="spellEnd"/>
      <w:r>
        <w:t xml:space="preserve"> acid and risedronate sodium (doses, administration advice).</w:t>
      </w:r>
    </w:p>
    <w:p w14:paraId="37032FC4" w14:textId="77777777" w:rsidR="00480733" w:rsidRDefault="00000000">
      <w:pPr>
        <w:pStyle w:val="ListParagraph"/>
        <w:numPr>
          <w:ilvl w:val="0"/>
          <w:numId w:val="2"/>
        </w:numPr>
        <w:spacing w:after="60" w:line="264" w:lineRule="auto"/>
      </w:pPr>
      <w:r>
        <w:t>WHO / ISCD reporting conventions for T-scores and Z-scores (which score to use, and the “below expected range for age” cut-off).</w:t>
      </w:r>
    </w:p>
    <w:p w14:paraId="104C357E" w14:textId="77777777" w:rsidR="00480733" w:rsidRDefault="00480733">
      <w:pPr>
        <w:spacing w:after="20"/>
      </w:pPr>
    </w:p>
    <w:p w14:paraId="56ACDA98" w14:textId="77777777" w:rsidR="00480733" w:rsidRDefault="00000000">
      <w:pPr>
        <w:spacing w:after="120" w:line="276" w:lineRule="auto"/>
      </w:pPr>
      <w:r>
        <w:rPr>
          <w:i/>
          <w:iCs/>
          <w:color w:val="3C5147"/>
          <w:sz w:val="18"/>
          <w:szCs w:val="18"/>
        </w:rPr>
        <w:t>Always check the current NICE guidance and your local formulary before prescribing. This aid summarises principles for teaching; it does not replace the full guidance.</w:t>
      </w:r>
    </w:p>
    <w:sectPr w:rsidR="00480733">
      <w:headerReference w:type="default" r:id="rId11"/>
      <w:footerReference w:type="default" r:id="rId12"/>
      <w:pgSz w:w="11906" w:h="16838"/>
      <w:pgMar w:top="1100" w:right="1440" w:bottom="110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FD9E1" w14:textId="77777777" w:rsidR="00525768" w:rsidRDefault="00525768">
      <w:r>
        <w:separator/>
      </w:r>
    </w:p>
  </w:endnote>
  <w:endnote w:type="continuationSeparator" w:id="0">
    <w:p w14:paraId="6FB58CEB" w14:textId="77777777" w:rsidR="00525768" w:rsidRDefault="00525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98067" w14:textId="77777777" w:rsidR="00480733" w:rsidRDefault="00000000">
    <w:pPr>
      <w:pBdr>
        <w:top w:val="single" w:sz="4" w:space="4" w:color="D0F5EB"/>
      </w:pBdr>
      <w:tabs>
        <w:tab w:val="right" w:pos="9026"/>
      </w:tabs>
    </w:pPr>
    <w:r>
      <w:rPr>
        <w:color w:val="3C5147"/>
        <w:sz w:val="16"/>
        <w:szCs w:val="16"/>
      </w:rPr>
      <w:t>Based on NICE (UK) · 28 June 2026</w:t>
    </w:r>
    <w:r>
      <w:rPr>
        <w:color w:val="3C5147"/>
        <w:sz w:val="16"/>
        <w:szCs w:val="16"/>
      </w:rPr>
      <w:tab/>
      <w:t xml:space="preserve">Page </w:t>
    </w:r>
    <w:r>
      <w:rPr>
        <w:color w:val="3C5147"/>
        <w:sz w:val="16"/>
        <w:szCs w:val="16"/>
      </w:rPr>
      <w:fldChar w:fldCharType="begin"/>
    </w:r>
    <w:r>
      <w:rPr>
        <w:color w:val="3C5147"/>
        <w:sz w:val="16"/>
        <w:szCs w:val="16"/>
      </w:rPr>
      <w:instrText>PAGE</w:instrText>
    </w:r>
    <w:r>
      <w:rPr>
        <w:color w:val="3C5147"/>
        <w:sz w:val="16"/>
        <w:szCs w:val="16"/>
      </w:rPr>
      <w:fldChar w:fldCharType="separate"/>
    </w:r>
    <w:r w:rsidR="00BE17AD">
      <w:rPr>
        <w:noProof/>
        <w:color w:val="3C5147"/>
        <w:sz w:val="16"/>
        <w:szCs w:val="16"/>
      </w:rPr>
      <w:t>1</w:t>
    </w:r>
    <w:r>
      <w:rPr>
        <w:color w:val="3C5147"/>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8EB46" w14:textId="77777777" w:rsidR="00525768" w:rsidRDefault="00525768">
      <w:r>
        <w:separator/>
      </w:r>
    </w:p>
  </w:footnote>
  <w:footnote w:type="continuationSeparator" w:id="0">
    <w:p w14:paraId="09632DE9" w14:textId="77777777" w:rsidR="00525768" w:rsidRDefault="005257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74E86" w14:textId="77777777" w:rsidR="00480733" w:rsidRDefault="00000000">
    <w:pPr>
      <w:pBdr>
        <w:bottom w:val="single" w:sz="4" w:space="4" w:color="D0F5EB"/>
      </w:pBdr>
      <w:tabs>
        <w:tab w:val="right" w:pos="9026"/>
      </w:tabs>
    </w:pPr>
    <w:r>
      <w:rPr>
        <w:b/>
        <w:bCs/>
        <w:color w:val="138059"/>
        <w:sz w:val="16"/>
        <w:szCs w:val="16"/>
      </w:rPr>
      <w:t>Bradford VTS Teaching Aid</w:t>
    </w:r>
    <w:r>
      <w:rPr>
        <w:color w:val="3C5147"/>
        <w:sz w:val="16"/>
        <w:szCs w:val="16"/>
      </w:rPr>
      <w:tab/>
      <w:t>Interpreting the DXA scan: T-scores &amp; Z-scores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80F8D"/>
    <w:multiLevelType w:val="hybridMultilevel"/>
    <w:tmpl w:val="8DE4FE3A"/>
    <w:lvl w:ilvl="0" w:tplc="7FA20410">
      <w:start w:val="1"/>
      <w:numFmt w:val="bullet"/>
      <w:lvlText w:val="●"/>
      <w:lvlJc w:val="left"/>
      <w:pPr>
        <w:ind w:left="720" w:hanging="360"/>
      </w:pPr>
    </w:lvl>
    <w:lvl w:ilvl="1" w:tplc="34C82FDE">
      <w:start w:val="1"/>
      <w:numFmt w:val="bullet"/>
      <w:lvlText w:val="○"/>
      <w:lvlJc w:val="left"/>
      <w:pPr>
        <w:ind w:left="1440" w:hanging="360"/>
      </w:pPr>
    </w:lvl>
    <w:lvl w:ilvl="2" w:tplc="E2FC5E94">
      <w:start w:val="1"/>
      <w:numFmt w:val="bullet"/>
      <w:lvlText w:val="■"/>
      <w:lvlJc w:val="left"/>
      <w:pPr>
        <w:ind w:left="2160" w:hanging="360"/>
      </w:pPr>
    </w:lvl>
    <w:lvl w:ilvl="3" w:tplc="C8A4D5CE">
      <w:start w:val="1"/>
      <w:numFmt w:val="bullet"/>
      <w:lvlText w:val="●"/>
      <w:lvlJc w:val="left"/>
      <w:pPr>
        <w:ind w:left="2880" w:hanging="360"/>
      </w:pPr>
    </w:lvl>
    <w:lvl w:ilvl="4" w:tplc="C1BCD9AA">
      <w:start w:val="1"/>
      <w:numFmt w:val="bullet"/>
      <w:lvlText w:val="○"/>
      <w:lvlJc w:val="left"/>
      <w:pPr>
        <w:ind w:left="3600" w:hanging="360"/>
      </w:pPr>
    </w:lvl>
    <w:lvl w:ilvl="5" w:tplc="0944E424">
      <w:start w:val="1"/>
      <w:numFmt w:val="bullet"/>
      <w:lvlText w:val="■"/>
      <w:lvlJc w:val="left"/>
      <w:pPr>
        <w:ind w:left="4320" w:hanging="360"/>
      </w:pPr>
    </w:lvl>
    <w:lvl w:ilvl="6" w:tplc="BFDE5BFA">
      <w:start w:val="1"/>
      <w:numFmt w:val="bullet"/>
      <w:lvlText w:val="●"/>
      <w:lvlJc w:val="left"/>
      <w:pPr>
        <w:ind w:left="5040" w:hanging="360"/>
      </w:pPr>
    </w:lvl>
    <w:lvl w:ilvl="7" w:tplc="21204610">
      <w:start w:val="1"/>
      <w:numFmt w:val="bullet"/>
      <w:lvlText w:val="●"/>
      <w:lvlJc w:val="left"/>
      <w:pPr>
        <w:ind w:left="5760" w:hanging="360"/>
      </w:pPr>
    </w:lvl>
    <w:lvl w:ilvl="8" w:tplc="37286B9C">
      <w:start w:val="1"/>
      <w:numFmt w:val="bullet"/>
      <w:lvlText w:val="●"/>
      <w:lvlJc w:val="left"/>
      <w:pPr>
        <w:ind w:left="6480" w:hanging="360"/>
      </w:pPr>
    </w:lvl>
  </w:abstractNum>
  <w:abstractNum w:abstractNumId="1" w15:restartNumberingAfterBreak="0">
    <w:nsid w:val="44ED72FF"/>
    <w:multiLevelType w:val="hybridMultilevel"/>
    <w:tmpl w:val="F606D82C"/>
    <w:lvl w:ilvl="0" w:tplc="BA665CB6">
      <w:start w:val="1"/>
      <w:numFmt w:val="bullet"/>
      <w:lvlText w:val="•"/>
      <w:lvlJc w:val="left"/>
      <w:pPr>
        <w:ind w:left="480" w:hanging="260"/>
      </w:pPr>
      <w:rPr>
        <w:color w:val="138059"/>
      </w:rPr>
    </w:lvl>
    <w:lvl w:ilvl="1" w:tplc="253862E4">
      <w:numFmt w:val="decimal"/>
      <w:lvlText w:val=""/>
      <w:lvlJc w:val="left"/>
    </w:lvl>
    <w:lvl w:ilvl="2" w:tplc="3092DACC">
      <w:numFmt w:val="decimal"/>
      <w:lvlText w:val=""/>
      <w:lvlJc w:val="left"/>
    </w:lvl>
    <w:lvl w:ilvl="3" w:tplc="674E8734">
      <w:numFmt w:val="decimal"/>
      <w:lvlText w:val=""/>
      <w:lvlJc w:val="left"/>
    </w:lvl>
    <w:lvl w:ilvl="4" w:tplc="4404D450">
      <w:numFmt w:val="decimal"/>
      <w:lvlText w:val=""/>
      <w:lvlJc w:val="left"/>
    </w:lvl>
    <w:lvl w:ilvl="5" w:tplc="9B8E3F10">
      <w:numFmt w:val="decimal"/>
      <w:lvlText w:val=""/>
      <w:lvlJc w:val="left"/>
    </w:lvl>
    <w:lvl w:ilvl="6" w:tplc="9BB029A2">
      <w:numFmt w:val="decimal"/>
      <w:lvlText w:val=""/>
      <w:lvlJc w:val="left"/>
    </w:lvl>
    <w:lvl w:ilvl="7" w:tplc="7D1C1EFE">
      <w:numFmt w:val="decimal"/>
      <w:lvlText w:val=""/>
      <w:lvlJc w:val="left"/>
    </w:lvl>
    <w:lvl w:ilvl="8" w:tplc="3A2AE7D6">
      <w:numFmt w:val="decimal"/>
      <w:lvlText w:val=""/>
      <w:lvlJc w:val="left"/>
    </w:lvl>
  </w:abstractNum>
  <w:num w:numId="1" w16cid:durableId="1552157417">
    <w:abstractNumId w:val="0"/>
    <w:lvlOverride w:ilvl="0">
      <w:startOverride w:val="1"/>
    </w:lvlOverride>
  </w:num>
  <w:num w:numId="2" w16cid:durableId="41065916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733"/>
    <w:rsid w:val="00480733"/>
    <w:rsid w:val="00525768"/>
    <w:rsid w:val="005D09E5"/>
    <w:rsid w:val="00BE17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E9987"/>
  <w15:docId w15:val="{DC936375-3D9D-4589-B673-669974940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pBdr>
        <w:bottom w:val="single" w:sz="6" w:space="4" w:color="2DB882"/>
      </w:pBdr>
      <w:spacing w:before="300" w:after="140"/>
      <w:outlineLvl w:val="0"/>
    </w:pPr>
    <w:rPr>
      <w:b/>
      <w:bCs/>
      <w:color w:val="0A4A38"/>
      <w:sz w:val="27"/>
      <w:szCs w:val="27"/>
    </w:rPr>
  </w:style>
  <w:style w:type="paragraph" w:styleId="Heading2">
    <w:name w:val="heading 2"/>
    <w:uiPriority w:val="9"/>
    <w:unhideWhenUsed/>
    <w:qFormat/>
    <w:pPr>
      <w:spacing w:before="200" w:after="100"/>
      <w:outlineLvl w:val="1"/>
    </w:pPr>
    <w:rPr>
      <w:b/>
      <w:bCs/>
      <w:color w:val="0F6449"/>
      <w:sz w:val="23"/>
      <w:szCs w:val="23"/>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2391</Words>
  <Characters>12271</Characters>
  <Application>Microsoft Office Word</Application>
  <DocSecurity>0</DocSecurity>
  <Lines>306</Lines>
  <Paragraphs>225</Paragraphs>
  <ScaleCrop>false</ScaleCrop>
  <Company/>
  <LinksUpToDate>false</LinksUpToDate>
  <CharactersWithSpaces>14437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2</cp:revision>
  <dcterms:created xsi:type="dcterms:W3CDTF">2026-06-28T19:49:00Z</dcterms:created>
  <dcterms:modified xsi:type="dcterms:W3CDTF">2026-06-28T20:52:00Z</dcterms:modified>
</cp:coreProperties>
</file>