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60" w:type="dxa"/>
        <w:tblLook w:val="04A0" w:firstRow="1" w:lastRow="0" w:firstColumn="1" w:lastColumn="0" w:noHBand="0" w:noVBand="1"/>
      </w:tblPr>
      <w:tblGrid>
        <w:gridCol w:w="9360"/>
      </w:tblGrid>
      <w:tr w:rsidR="00761796" w14:paraId="5F8D5241" w14:textId="77777777">
        <w:tc>
          <w:tcPr>
            <w:tcW w:w="9638" w:type="dxa"/>
            <w:shd w:val="clear" w:color="auto" w:fill="E0651F"/>
            <w:tcMar>
              <w:top w:w="200" w:type="dxa"/>
              <w:left w:w="200" w:type="dxa"/>
              <w:bottom w:w="200" w:type="dxa"/>
              <w:right w:w="200" w:type="dxa"/>
            </w:tcMar>
          </w:tcPr>
          <w:p w14:paraId="2A958476" w14:textId="77777777" w:rsidR="00761796" w:rsidRDefault="00000000">
            <w:pPr>
              <w:spacing w:after="50"/>
              <w:jc w:val="center"/>
            </w:pPr>
            <w:r>
              <w:rPr>
                <w:rFonts w:ascii="Calibri" w:hAnsi="Calibri"/>
                <w:b/>
                <w:color w:val="FFFFFF"/>
              </w:rPr>
              <w:t>BRADFORD VTS TEACHING AIDS</w:t>
            </w:r>
          </w:p>
          <w:p w14:paraId="4507627B" w14:textId="77777777" w:rsidR="00761796" w:rsidRDefault="00000000">
            <w:pPr>
              <w:spacing w:after="50"/>
              <w:jc w:val="center"/>
            </w:pPr>
            <w:r>
              <w:rPr>
                <w:rFonts w:ascii="Calibri" w:hAnsi="Calibri"/>
                <w:b/>
                <w:color w:val="FFFFFF"/>
                <w:sz w:val="60"/>
              </w:rPr>
              <w:t>Osteoporosis — Clinical Management Guide</w:t>
            </w:r>
          </w:p>
          <w:p w14:paraId="4759EAB1" w14:textId="77777777" w:rsidR="00761796" w:rsidRDefault="00000000">
            <w:pPr>
              <w:spacing w:after="0"/>
              <w:jc w:val="center"/>
            </w:pPr>
            <w:r>
              <w:rPr>
                <w:rFonts w:ascii="Calibri" w:hAnsi="Calibri"/>
                <w:i/>
                <w:color w:val="FFFFFF"/>
                <w:sz w:val="24"/>
              </w:rPr>
              <w:t>A Practical Clinical Guide  ·  Bradford VTS  ·  June 2025</w:t>
            </w:r>
          </w:p>
        </w:tc>
      </w:tr>
    </w:tbl>
    <w:p w14:paraId="4B996C2B" w14:textId="77777777" w:rsidR="00761796" w:rsidRDefault="00000000">
      <w:pPr>
        <w:spacing w:before="80" w:after="40"/>
        <w:jc w:val="center"/>
      </w:pPr>
      <w:r>
        <w:rPr>
          <w:noProof/>
        </w:rPr>
        <w:drawing>
          <wp:inline distT="0" distB="0" distL="0" distR="0" wp14:anchorId="6CCEE212" wp14:editId="57C3B6A3">
            <wp:extent cx="5303520" cy="298568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steo_hero_4.jpe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03520" cy="2985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D77E51" w14:textId="77777777" w:rsidR="00761796" w:rsidRDefault="00000000">
      <w:pPr>
        <w:spacing w:after="120"/>
        <w:jc w:val="center"/>
      </w:pPr>
      <w:r>
        <w:rPr>
          <w:rFonts w:ascii="Calibri" w:hAnsi="Calibri"/>
          <w:i/>
          <w:color w:val="707070"/>
          <w:sz w:val="18"/>
        </w:rPr>
        <w:t>Osteoporosis affects 3 million people in the UK. Early diagnosis and treatment prevent fractures and preserve independence.</w:t>
      </w:r>
    </w:p>
    <w:p w14:paraId="0115DB52" w14:textId="77777777" w:rsidR="00761796" w:rsidRDefault="00000000">
      <w:pPr>
        <w:spacing w:before="200" w:after="60"/>
      </w:pPr>
      <w:r>
        <w:rPr>
          <w:rFonts w:ascii="Calibri" w:hAnsi="Calibri"/>
          <w:b/>
          <w:color w:val="1A3A5C"/>
          <w:sz w:val="28"/>
        </w:rPr>
        <w:t>1. What Is Osteoporosis?</w:t>
      </w:r>
    </w:p>
    <w:p w14:paraId="3E8B8FDD" w14:textId="77777777" w:rsidR="00761796" w:rsidRDefault="00000000">
      <w:pPr>
        <w:spacing w:before="20" w:after="40"/>
      </w:pPr>
      <w:r>
        <w:rPr>
          <w:rFonts w:ascii="Calibri" w:hAnsi="Calibri"/>
          <w:sz w:val="20"/>
        </w:rPr>
        <w:t>Osteoporosis: a systemic skeletal disease characterised by LOW BONE MASS and microarchitectural deterioration of bone tissue → increased fragility and fracture risk. (WHO 1994 / NICE NG38 2025)</w:t>
      </w:r>
    </w:p>
    <w:p w14:paraId="0B1AD82C" w14:textId="77777777" w:rsidR="00761796" w:rsidRDefault="00000000">
      <w:pPr>
        <w:spacing w:before="120" w:after="40"/>
      </w:pPr>
      <w:r>
        <w:rPr>
          <w:rFonts w:ascii="Calibri" w:hAnsi="Calibri"/>
          <w:b/>
          <w:color w:val="1A3A5C"/>
        </w:rPr>
        <w:t>T-Score Classification (WHO / NICE NG38 2025)</w:t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4671"/>
        <w:gridCol w:w="4689"/>
      </w:tblGrid>
      <w:tr w:rsidR="00761796" w14:paraId="066ED933" w14:textId="77777777">
        <w:tc>
          <w:tcPr>
            <w:tcW w:w="4819" w:type="dxa"/>
            <w:shd w:val="clear" w:color="auto" w:fill="1A3A5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E3C87C" w14:textId="77777777" w:rsidR="00761796" w:rsidRDefault="00000000">
            <w:pPr>
              <w:spacing w:after="0"/>
            </w:pPr>
            <w:r>
              <w:rPr>
                <w:rFonts w:ascii="Calibri" w:hAnsi="Calibri"/>
                <w:b/>
                <w:color w:val="FFFFFF"/>
                <w:sz w:val="20"/>
              </w:rPr>
              <w:t>T-Score</w:t>
            </w:r>
          </w:p>
        </w:tc>
        <w:tc>
          <w:tcPr>
            <w:tcW w:w="4819" w:type="dxa"/>
            <w:shd w:val="clear" w:color="auto" w:fill="1A3A5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8EEEE1" w14:textId="77777777" w:rsidR="00761796" w:rsidRDefault="00000000">
            <w:pPr>
              <w:spacing w:after="0"/>
            </w:pPr>
            <w:r>
              <w:rPr>
                <w:rFonts w:ascii="Calibri" w:hAnsi="Calibri"/>
                <w:b/>
                <w:color w:val="FFFFFF"/>
                <w:sz w:val="20"/>
              </w:rPr>
              <w:t>Classification</w:t>
            </w:r>
          </w:p>
        </w:tc>
      </w:tr>
      <w:tr w:rsidR="00761796" w14:paraId="6B732228" w14:textId="77777777">
        <w:tc>
          <w:tcPr>
            <w:tcW w:w="4819" w:type="dxa"/>
            <w:shd w:val="clear" w:color="auto" w:fill="E6F4E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8F3A7D" w14:textId="77777777" w:rsidR="00761796" w:rsidRDefault="00000000">
            <w:pPr>
              <w:spacing w:after="0"/>
            </w:pPr>
            <w:r>
              <w:rPr>
                <w:rFonts w:ascii="Calibri" w:hAnsi="Calibri"/>
                <w:sz w:val="19"/>
              </w:rPr>
              <w:t>Above -1.0</w:t>
            </w:r>
          </w:p>
        </w:tc>
        <w:tc>
          <w:tcPr>
            <w:tcW w:w="4819" w:type="dxa"/>
            <w:shd w:val="clear" w:color="auto" w:fill="E6F4E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C3C541" w14:textId="77777777" w:rsidR="00761796" w:rsidRDefault="00000000">
            <w:pPr>
              <w:spacing w:after="0"/>
            </w:pPr>
            <w:r>
              <w:rPr>
                <w:rFonts w:ascii="Calibri" w:hAnsi="Calibri"/>
                <w:sz w:val="19"/>
              </w:rPr>
              <w:t>Normal</w:t>
            </w:r>
          </w:p>
        </w:tc>
      </w:tr>
      <w:tr w:rsidR="00761796" w14:paraId="199F1494" w14:textId="77777777">
        <w:tc>
          <w:tcPr>
            <w:tcW w:w="4819" w:type="dxa"/>
            <w:shd w:val="clear" w:color="auto" w:fill="FFF3C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F246AD" w14:textId="77777777" w:rsidR="00761796" w:rsidRDefault="00000000">
            <w:pPr>
              <w:spacing w:after="0"/>
            </w:pPr>
            <w:r>
              <w:rPr>
                <w:rFonts w:ascii="Calibri" w:hAnsi="Calibri"/>
                <w:sz w:val="19"/>
              </w:rPr>
              <w:t>-1.0 to -2.4</w:t>
            </w:r>
          </w:p>
        </w:tc>
        <w:tc>
          <w:tcPr>
            <w:tcW w:w="4819" w:type="dxa"/>
            <w:shd w:val="clear" w:color="auto" w:fill="FFF3C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8E3548" w14:textId="77777777" w:rsidR="00761796" w:rsidRDefault="00000000">
            <w:pPr>
              <w:spacing w:after="0"/>
            </w:pPr>
            <w:r>
              <w:rPr>
                <w:rFonts w:ascii="Calibri" w:hAnsi="Calibri"/>
                <w:sz w:val="19"/>
              </w:rPr>
              <w:t>Osteopenia (low bone density)</w:t>
            </w:r>
          </w:p>
        </w:tc>
      </w:tr>
      <w:tr w:rsidR="00761796" w14:paraId="3633B11F" w14:textId="77777777">
        <w:tc>
          <w:tcPr>
            <w:tcW w:w="4819" w:type="dxa"/>
            <w:shd w:val="clear" w:color="auto" w:fill="FCE4E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E52A57" w14:textId="77777777" w:rsidR="00761796" w:rsidRDefault="00000000">
            <w:pPr>
              <w:spacing w:after="0"/>
            </w:pPr>
            <w:r>
              <w:rPr>
                <w:rFonts w:ascii="Calibri" w:hAnsi="Calibri"/>
                <w:sz w:val="19"/>
              </w:rPr>
              <w:t>-2.5 or below</w:t>
            </w:r>
          </w:p>
        </w:tc>
        <w:tc>
          <w:tcPr>
            <w:tcW w:w="4819" w:type="dxa"/>
            <w:shd w:val="clear" w:color="auto" w:fill="FCE4E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960467" w14:textId="77777777" w:rsidR="00761796" w:rsidRDefault="00000000">
            <w:pPr>
              <w:spacing w:after="0"/>
            </w:pPr>
            <w:r>
              <w:rPr>
                <w:rFonts w:ascii="Calibri" w:hAnsi="Calibri"/>
                <w:sz w:val="19"/>
              </w:rPr>
              <w:t>Osteoporosis</w:t>
            </w:r>
          </w:p>
        </w:tc>
      </w:tr>
      <w:tr w:rsidR="00761796" w14:paraId="5026BD1E" w14:textId="77777777">
        <w:tc>
          <w:tcPr>
            <w:tcW w:w="4819" w:type="dxa"/>
            <w:shd w:val="clear" w:color="auto" w:fill="FCE4E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1EB399" w14:textId="77777777" w:rsidR="00761796" w:rsidRDefault="00000000">
            <w:pPr>
              <w:spacing w:after="0"/>
            </w:pPr>
            <w:r>
              <w:rPr>
                <w:rFonts w:ascii="Calibri" w:hAnsi="Calibri"/>
                <w:sz w:val="19"/>
              </w:rPr>
              <w:t>-2.5 + fragility fracture</w:t>
            </w:r>
          </w:p>
        </w:tc>
        <w:tc>
          <w:tcPr>
            <w:tcW w:w="4819" w:type="dxa"/>
            <w:shd w:val="clear" w:color="auto" w:fill="FCE4E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DCDD68" w14:textId="77777777" w:rsidR="00761796" w:rsidRDefault="00000000">
            <w:pPr>
              <w:spacing w:after="0"/>
            </w:pPr>
            <w:r>
              <w:rPr>
                <w:rFonts w:ascii="Calibri" w:hAnsi="Calibri"/>
                <w:sz w:val="19"/>
              </w:rPr>
              <w:t>Severe / established osteoporosis</w:t>
            </w:r>
          </w:p>
        </w:tc>
      </w:tr>
    </w:tbl>
    <w:p w14:paraId="7931F5AC" w14:textId="77777777" w:rsidR="00761796" w:rsidRDefault="00761796"/>
    <w:tbl>
      <w:tblPr>
        <w:tblW w:w="9360" w:type="dxa"/>
        <w:tblLook w:val="04A0" w:firstRow="1" w:lastRow="0" w:firstColumn="1" w:lastColumn="0" w:noHBand="0" w:noVBand="1"/>
      </w:tblPr>
      <w:tblGrid>
        <w:gridCol w:w="9360"/>
      </w:tblGrid>
      <w:tr w:rsidR="00761796" w14:paraId="44E6A213" w14:textId="77777777">
        <w:tc>
          <w:tcPr>
            <w:tcW w:w="9638" w:type="dxa"/>
            <w:shd w:val="clear" w:color="auto" w:fill="E8F4FB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0CAAB628" w14:textId="77777777" w:rsidR="00761796" w:rsidRDefault="00000000">
            <w:pPr>
              <w:spacing w:after="30"/>
            </w:pPr>
            <w:r>
              <w:rPr>
                <w:rFonts w:ascii="Calibri" w:hAnsi="Calibri"/>
                <w:b/>
                <w:color w:val="007A87"/>
                <w:sz w:val="19"/>
              </w:rPr>
              <w:t>📊  UK Epidemiology</w:t>
            </w:r>
          </w:p>
          <w:p w14:paraId="0C1ADAF3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1A3A5C"/>
                <w:sz w:val="19"/>
              </w:rPr>
              <w:t>• 3 million affected in UK  ·  500,000 fragility fractures per year</w:t>
            </w:r>
          </w:p>
          <w:p w14:paraId="7D4E5B83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1A3A5C"/>
                <w:sz w:val="19"/>
              </w:rPr>
              <w:t>• 1 in 2 women and 1 in 5 men over 50 sustain a fragility fracture in their lifetime</w:t>
            </w:r>
          </w:p>
          <w:p w14:paraId="4219BC7B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1A3A5C"/>
                <w:sz w:val="19"/>
              </w:rPr>
              <w:t>• Hip fractures: ~70,000/year  ·  20–30% die within 12 months  ·  50% lose independence</w:t>
            </w:r>
          </w:p>
          <w:p w14:paraId="70609951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1A3A5C"/>
                <w:sz w:val="19"/>
              </w:rPr>
              <w:t>• Cost to NHS: &gt;£2 billion per year</w:t>
            </w:r>
          </w:p>
        </w:tc>
      </w:tr>
    </w:tbl>
    <w:p w14:paraId="5EE4913C" w14:textId="77777777" w:rsidR="00761796" w:rsidRDefault="00761796"/>
    <w:p w14:paraId="01A49EF1" w14:textId="77777777" w:rsidR="00761796" w:rsidRDefault="00000000">
      <w:pPr>
        <w:spacing w:before="200" w:after="60"/>
      </w:pPr>
      <w:r>
        <w:rPr>
          <w:rFonts w:ascii="Calibri" w:hAnsi="Calibri"/>
          <w:b/>
          <w:color w:val="1A3A5C"/>
          <w:sz w:val="28"/>
        </w:rPr>
        <w:lastRenderedPageBreak/>
        <w:t>2. Risk Factors</w:t>
      </w:r>
    </w:p>
    <w:p w14:paraId="2372257F" w14:textId="77777777" w:rsidR="00761796" w:rsidRDefault="00000000">
      <w:pPr>
        <w:spacing w:before="120" w:after="40"/>
      </w:pPr>
      <w:r>
        <w:rPr>
          <w:rFonts w:ascii="Calibri" w:hAnsi="Calibri"/>
          <w:b/>
          <w:color w:val="1A3A5C"/>
        </w:rPr>
        <w:t>Non-Modifiable</w:t>
      </w:r>
    </w:p>
    <w:p w14:paraId="6D15377A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Age — risk doubles each decade over 50</w:t>
      </w:r>
    </w:p>
    <w:p w14:paraId="61FE2D74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Female sex / postmenopausal status</w:t>
      </w:r>
    </w:p>
    <w:p w14:paraId="6F22B38C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Parental hip fracture</w:t>
      </w:r>
    </w:p>
    <w:p w14:paraId="214EFE18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White or Asian ethnicity</w:t>
      </w:r>
    </w:p>
    <w:p w14:paraId="6E76987C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Previous fragility fracture (strongest predictor)</w:t>
      </w:r>
    </w:p>
    <w:p w14:paraId="56C4CEF9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POI (premature ovarian insufficiency, age &lt;40) — NOT "premature menopause"</w:t>
      </w:r>
    </w:p>
    <w:p w14:paraId="5744FF19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Male hypogonadism</w:t>
      </w:r>
    </w:p>
    <w:p w14:paraId="0CFB375B" w14:textId="77777777" w:rsidR="00761796" w:rsidRDefault="00000000">
      <w:pPr>
        <w:spacing w:before="120" w:after="40"/>
      </w:pPr>
      <w:r>
        <w:rPr>
          <w:rFonts w:ascii="Calibri" w:hAnsi="Calibri"/>
          <w:b/>
          <w:color w:val="1A3A5C"/>
        </w:rPr>
        <w:t>Modifiable</w:t>
      </w:r>
    </w:p>
    <w:p w14:paraId="1C87464C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Low BMI (&lt;19 kg/m²)</w:t>
      </w:r>
    </w:p>
    <w:p w14:paraId="0CA099D8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Cigarette smoking</w:t>
      </w:r>
    </w:p>
    <w:p w14:paraId="083AAAD8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Alcohol &gt;3 units/day</w:t>
      </w:r>
    </w:p>
    <w:p w14:paraId="4DB8DCDC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Physical inactivity / prolonged immobility</w:t>
      </w:r>
    </w:p>
    <w:p w14:paraId="47FDCD32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Low dietary calcium and vitamin D</w:t>
      </w:r>
    </w:p>
    <w:p w14:paraId="6EB5D8DE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High falls risk</w:t>
      </w:r>
    </w:p>
    <w:p w14:paraId="514DB775" w14:textId="77777777" w:rsidR="00761796" w:rsidRDefault="00000000">
      <w:pPr>
        <w:spacing w:before="120" w:after="40"/>
      </w:pPr>
      <w:r>
        <w:rPr>
          <w:rFonts w:ascii="Calibri" w:hAnsi="Calibri"/>
          <w:b/>
          <w:color w:val="1A3A5C"/>
        </w:rPr>
        <w:t>Secondary Causes</w:t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4679"/>
        <w:gridCol w:w="4681"/>
      </w:tblGrid>
      <w:tr w:rsidR="00761796" w14:paraId="08BA1727" w14:textId="77777777">
        <w:tc>
          <w:tcPr>
            <w:tcW w:w="4819" w:type="dxa"/>
            <w:shd w:val="clear" w:color="auto" w:fill="007A8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83D241" w14:textId="77777777" w:rsidR="00761796" w:rsidRDefault="00000000">
            <w:pPr>
              <w:spacing w:after="0"/>
            </w:pPr>
            <w:r>
              <w:rPr>
                <w:rFonts w:ascii="Calibri" w:hAnsi="Calibri"/>
                <w:b/>
                <w:color w:val="FFFFFF"/>
                <w:sz w:val="20"/>
              </w:rPr>
              <w:t>Category</w:t>
            </w:r>
          </w:p>
        </w:tc>
        <w:tc>
          <w:tcPr>
            <w:tcW w:w="4819" w:type="dxa"/>
            <w:shd w:val="clear" w:color="auto" w:fill="007A8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25DDC8" w14:textId="77777777" w:rsidR="00761796" w:rsidRDefault="00000000">
            <w:pPr>
              <w:spacing w:after="0"/>
            </w:pPr>
            <w:r>
              <w:rPr>
                <w:rFonts w:ascii="Calibri" w:hAnsi="Calibri"/>
                <w:b/>
                <w:color w:val="FFFFFF"/>
                <w:sz w:val="20"/>
              </w:rPr>
              <w:t>Examples</w:t>
            </w:r>
          </w:p>
        </w:tc>
      </w:tr>
      <w:tr w:rsidR="00761796" w14:paraId="45ADD152" w14:textId="77777777">
        <w:tc>
          <w:tcPr>
            <w:tcW w:w="4819" w:type="dxa"/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16F04F" w14:textId="77777777" w:rsidR="00761796" w:rsidRDefault="00000000">
            <w:pPr>
              <w:spacing w:after="0"/>
            </w:pPr>
            <w:r>
              <w:rPr>
                <w:rFonts w:ascii="Calibri" w:hAnsi="Calibri"/>
                <w:b/>
                <w:sz w:val="18"/>
              </w:rPr>
              <w:t>Glucocorticoids</w:t>
            </w:r>
          </w:p>
        </w:tc>
        <w:tc>
          <w:tcPr>
            <w:tcW w:w="481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0DE8EF" w14:textId="77777777" w:rsidR="00761796" w:rsidRDefault="00000000">
            <w:pPr>
              <w:spacing w:after="0"/>
            </w:pPr>
            <w:r>
              <w:rPr>
                <w:rFonts w:ascii="Calibri" w:hAnsi="Calibri"/>
                <w:sz w:val="18"/>
              </w:rPr>
              <w:t>Most common secondary cause in primary care — even short courses cause rapid bone loss</w:t>
            </w:r>
          </w:p>
        </w:tc>
      </w:tr>
      <w:tr w:rsidR="00761796" w14:paraId="569E5EB0" w14:textId="77777777">
        <w:tc>
          <w:tcPr>
            <w:tcW w:w="4819" w:type="dxa"/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440EFB" w14:textId="77777777" w:rsidR="00761796" w:rsidRDefault="00000000">
            <w:pPr>
              <w:spacing w:after="0"/>
            </w:pPr>
            <w:r>
              <w:rPr>
                <w:rFonts w:ascii="Calibri" w:hAnsi="Calibri"/>
                <w:b/>
                <w:sz w:val="18"/>
              </w:rPr>
              <w:t>Endocrine/hormonal</w:t>
            </w:r>
          </w:p>
        </w:tc>
        <w:tc>
          <w:tcPr>
            <w:tcW w:w="481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FF8502" w14:textId="77777777" w:rsidR="00761796" w:rsidRDefault="00000000">
            <w:pPr>
              <w:spacing w:after="0"/>
            </w:pPr>
            <w:r>
              <w:rPr>
                <w:rFonts w:ascii="Calibri" w:hAnsi="Calibri"/>
                <w:sz w:val="18"/>
              </w:rPr>
              <w:t>Hyperparathyroidism, hyperthyroidism, Cushing's, hypogonadism, T1DM, T2DM</w:t>
            </w:r>
          </w:p>
        </w:tc>
      </w:tr>
      <w:tr w:rsidR="00761796" w14:paraId="6639D61D" w14:textId="77777777">
        <w:tc>
          <w:tcPr>
            <w:tcW w:w="4819" w:type="dxa"/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A37249" w14:textId="77777777" w:rsidR="00761796" w:rsidRDefault="00000000">
            <w:pPr>
              <w:spacing w:after="0"/>
            </w:pPr>
            <w:r>
              <w:rPr>
                <w:rFonts w:ascii="Calibri" w:hAnsi="Calibri"/>
                <w:b/>
                <w:sz w:val="18"/>
              </w:rPr>
              <w:t>Inflammatory</w:t>
            </w:r>
          </w:p>
        </w:tc>
        <w:tc>
          <w:tcPr>
            <w:tcW w:w="481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642705" w14:textId="77777777" w:rsidR="00761796" w:rsidRDefault="00000000">
            <w:pPr>
              <w:spacing w:after="0"/>
            </w:pPr>
            <w:r>
              <w:rPr>
                <w:rFonts w:ascii="Calibri" w:hAnsi="Calibri"/>
                <w:sz w:val="18"/>
              </w:rPr>
              <w:t>Rheumatoid arthritis, SLE, ankylosing spondylitis</w:t>
            </w:r>
          </w:p>
        </w:tc>
      </w:tr>
      <w:tr w:rsidR="00761796" w14:paraId="6DDE5220" w14:textId="77777777">
        <w:tc>
          <w:tcPr>
            <w:tcW w:w="4819" w:type="dxa"/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D7F492" w14:textId="77777777" w:rsidR="00761796" w:rsidRDefault="00000000">
            <w:pPr>
              <w:spacing w:after="0"/>
            </w:pPr>
            <w:r>
              <w:rPr>
                <w:rFonts w:ascii="Calibri" w:hAnsi="Calibri"/>
                <w:b/>
                <w:sz w:val="18"/>
              </w:rPr>
              <w:t>Malabsorption</w:t>
            </w:r>
          </w:p>
        </w:tc>
        <w:tc>
          <w:tcPr>
            <w:tcW w:w="481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CE5D4F" w14:textId="77777777" w:rsidR="00761796" w:rsidRDefault="00000000">
            <w:pPr>
              <w:spacing w:after="0"/>
            </w:pPr>
            <w:r>
              <w:rPr>
                <w:rFonts w:ascii="Calibri" w:hAnsi="Calibri"/>
                <w:sz w:val="18"/>
              </w:rPr>
              <w:t>Coeliac disease, IBD, bariatric surgery, chronic liver disease</w:t>
            </w:r>
          </w:p>
        </w:tc>
      </w:tr>
      <w:tr w:rsidR="00761796" w14:paraId="286AA0A4" w14:textId="77777777">
        <w:tc>
          <w:tcPr>
            <w:tcW w:w="4819" w:type="dxa"/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0178D5" w14:textId="77777777" w:rsidR="00761796" w:rsidRDefault="00000000">
            <w:pPr>
              <w:spacing w:after="0"/>
            </w:pPr>
            <w:r>
              <w:rPr>
                <w:rFonts w:ascii="Calibri" w:hAnsi="Calibri"/>
                <w:b/>
                <w:sz w:val="18"/>
              </w:rPr>
              <w:t>Cancer treatment</w:t>
            </w:r>
          </w:p>
        </w:tc>
        <w:tc>
          <w:tcPr>
            <w:tcW w:w="481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8549BD" w14:textId="77777777" w:rsidR="00761796" w:rsidRDefault="00000000">
            <w:pPr>
              <w:spacing w:after="0"/>
            </w:pPr>
            <w:r>
              <w:rPr>
                <w:rFonts w:ascii="Calibri" w:hAnsi="Calibri"/>
                <w:sz w:val="18"/>
              </w:rPr>
              <w:t>Aromatase inhibitors (breast cancer), androgen deprivation therapy (prostate cancer)</w:t>
            </w:r>
          </w:p>
        </w:tc>
      </w:tr>
      <w:tr w:rsidR="00761796" w14:paraId="615C357A" w14:textId="77777777">
        <w:tc>
          <w:tcPr>
            <w:tcW w:w="4819" w:type="dxa"/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A18A46" w14:textId="77777777" w:rsidR="00761796" w:rsidRDefault="00000000">
            <w:pPr>
              <w:spacing w:after="0"/>
            </w:pPr>
            <w:r>
              <w:rPr>
                <w:rFonts w:ascii="Calibri" w:hAnsi="Calibri"/>
                <w:b/>
                <w:sz w:val="18"/>
              </w:rPr>
              <w:t>Medications</w:t>
            </w:r>
          </w:p>
        </w:tc>
        <w:tc>
          <w:tcPr>
            <w:tcW w:w="481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4258F9" w14:textId="77777777" w:rsidR="00761796" w:rsidRDefault="00000000">
            <w:pPr>
              <w:spacing w:after="0"/>
            </w:pPr>
            <w:r>
              <w:rPr>
                <w:rFonts w:ascii="Calibri" w:hAnsi="Calibri"/>
                <w:sz w:val="18"/>
              </w:rPr>
              <w:t>SSRIs, PPIs (long-term), antiepileptics, thyroxine over-replacement</w:t>
            </w:r>
          </w:p>
        </w:tc>
      </w:tr>
    </w:tbl>
    <w:p w14:paraId="297C6E2D" w14:textId="77777777" w:rsidR="00761796" w:rsidRDefault="00761796"/>
    <w:p w14:paraId="259B7A8F" w14:textId="77777777" w:rsidR="00761796" w:rsidRDefault="00000000">
      <w:pPr>
        <w:spacing w:before="200" w:after="60"/>
      </w:pPr>
      <w:r>
        <w:rPr>
          <w:rFonts w:ascii="Calibri" w:hAnsi="Calibri"/>
          <w:b/>
          <w:color w:val="1A3A5C"/>
          <w:sz w:val="28"/>
        </w:rPr>
        <w:t>3. Fracture Risk Assessment — FRAX Tool</w:t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9360"/>
      </w:tblGrid>
      <w:tr w:rsidR="00761796" w14:paraId="24748195" w14:textId="77777777">
        <w:tc>
          <w:tcPr>
            <w:tcW w:w="9638" w:type="dxa"/>
            <w:shd w:val="clear" w:color="auto" w:fill="E8F4FB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58B97AFE" w14:textId="77777777" w:rsidR="00761796" w:rsidRDefault="00000000">
            <w:pPr>
              <w:spacing w:after="30"/>
            </w:pPr>
            <w:r>
              <w:rPr>
                <w:rFonts w:ascii="Calibri" w:hAnsi="Calibri"/>
                <w:b/>
                <w:color w:val="007A87"/>
                <w:sz w:val="19"/>
              </w:rPr>
              <w:t>🔢  FRAX Tool — NICE NG38 2025 Recommended</w:t>
            </w:r>
          </w:p>
          <w:p w14:paraId="5EB04135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1A3A5C"/>
                <w:sz w:val="19"/>
              </w:rPr>
              <w:t>FRAX® estimates 10-year probability of hip + major osteoporotic fracture (spine, hip, forearm, shoulder)</w:t>
            </w:r>
          </w:p>
          <w:p w14:paraId="2AC26D6A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1A3A5C"/>
                <w:sz w:val="19"/>
              </w:rPr>
              <w:t>Inputs: age, sex, BMI, smoking, alcohol, steroids, RA, prior fracture, parental hip fracture, secondary causes</w:t>
            </w:r>
          </w:p>
          <w:p w14:paraId="7FEC4934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1A3A5C"/>
                <w:sz w:val="19"/>
              </w:rPr>
              <w:t>Can incorporate DXA femoral neck BMD for increased precision</w:t>
            </w:r>
          </w:p>
          <w:p w14:paraId="26C15DF5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1A3A5C"/>
                <w:sz w:val="19"/>
              </w:rPr>
              <w:t>Available at: www.sheffield.ac.uk/FRAX/</w:t>
            </w:r>
          </w:p>
          <w:p w14:paraId="633E4277" w14:textId="77777777" w:rsidR="00761796" w:rsidRDefault="00761796">
            <w:pPr>
              <w:spacing w:after="20"/>
            </w:pPr>
          </w:p>
          <w:p w14:paraId="6688AD7D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1A3A5C"/>
                <w:sz w:val="19"/>
              </w:rPr>
              <w:t>⚠  FRAX underestimates risk in: high-dose glucocorticoids · recent fracture · very elderly · frequent falls</w:t>
            </w:r>
          </w:p>
        </w:tc>
      </w:tr>
    </w:tbl>
    <w:p w14:paraId="249BFD8F" w14:textId="77777777" w:rsidR="00761796" w:rsidRDefault="00761796"/>
    <w:p w14:paraId="3212DCEB" w14:textId="77777777" w:rsidR="00592453" w:rsidRDefault="00592453">
      <w:pPr>
        <w:rPr>
          <w:rFonts w:ascii="Calibri" w:hAnsi="Calibri"/>
          <w:b/>
          <w:color w:val="1A3A5C"/>
        </w:rPr>
      </w:pPr>
      <w:r>
        <w:rPr>
          <w:rFonts w:ascii="Calibri" w:hAnsi="Calibri"/>
          <w:b/>
          <w:color w:val="1A3A5C"/>
        </w:rPr>
        <w:br w:type="page"/>
      </w:r>
    </w:p>
    <w:p w14:paraId="0F5B14EB" w14:textId="1F699F59" w:rsidR="00761796" w:rsidRDefault="00000000">
      <w:pPr>
        <w:spacing w:before="120" w:after="40"/>
      </w:pPr>
      <w:r>
        <w:rPr>
          <w:rFonts w:ascii="Calibri" w:hAnsi="Calibri"/>
          <w:b/>
          <w:color w:val="1A3A5C"/>
        </w:rPr>
        <w:lastRenderedPageBreak/>
        <w:t>Who to Assess?</w:t>
      </w:r>
    </w:p>
    <w:p w14:paraId="343E372A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All postmenopausal women and men ≥50 with clinical risk factors</w:t>
      </w:r>
    </w:p>
    <w:p w14:paraId="51D71E26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Women &gt;65 and men &gt;75 — even without additional risk factors</w:t>
      </w:r>
    </w:p>
    <w:p w14:paraId="44AC741E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Anyone with a history of fragility fracture</w:t>
      </w:r>
    </w:p>
    <w:p w14:paraId="26EF7459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Anyone starting or on long-term glucocorticoids</w:t>
      </w:r>
    </w:p>
    <w:p w14:paraId="4B4F3ED1" w14:textId="77777777" w:rsidR="00761796" w:rsidRDefault="00000000">
      <w:pPr>
        <w:spacing w:before="200" w:after="60"/>
      </w:pPr>
      <w:r>
        <w:rPr>
          <w:rFonts w:ascii="Calibri" w:hAnsi="Calibri"/>
          <w:b/>
          <w:color w:val="1A3A5C"/>
          <w:sz w:val="28"/>
        </w:rPr>
        <w:t>4. Investigations</w:t>
      </w:r>
    </w:p>
    <w:p w14:paraId="3A29B284" w14:textId="77777777" w:rsidR="00761796" w:rsidRDefault="00000000">
      <w:pPr>
        <w:spacing w:before="120" w:after="40"/>
      </w:pPr>
      <w:r>
        <w:rPr>
          <w:rFonts w:ascii="Calibri" w:hAnsi="Calibri"/>
          <w:b/>
          <w:color w:val="1A3A5C"/>
        </w:rPr>
        <w:t>DXA Scan — Gold Standard</w:t>
      </w:r>
    </w:p>
    <w:p w14:paraId="6CB23C94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Measures femoral neck and lumbar spine (L1–L4)</w:t>
      </w:r>
    </w:p>
    <w:p w14:paraId="0CCAF6AD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T-score = vs. young healthy adult  |  Z-score = vs. age-matched peer</w:t>
      </w:r>
    </w:p>
    <w:p w14:paraId="6165F687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Z-score &lt;-2.0 → suggests secondary cause → investigate further</w:t>
      </w:r>
    </w:p>
    <w:p w14:paraId="1FAF9547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⚠  DXA NOT needed before treating in women ≥75 with fragility fracture — treat empirically</w:t>
      </w:r>
    </w:p>
    <w:p w14:paraId="2DFE7E6A" w14:textId="77777777" w:rsidR="00761796" w:rsidRDefault="00000000">
      <w:pPr>
        <w:spacing w:before="120" w:after="40"/>
      </w:pPr>
      <w:r>
        <w:rPr>
          <w:rFonts w:ascii="Calibri" w:hAnsi="Calibri"/>
          <w:b/>
          <w:color w:val="1A3A5C"/>
        </w:rPr>
        <w:t>Blood Tests</w:t>
      </w:r>
    </w:p>
    <w:p w14:paraId="17447623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Routine: FBC, ESR/CRP, U&amp;E, LFTs (Ca, P, Alk Phos, Albumin, ALT/GGT), TSH, creatinine, vitamin D (25-OH-D), PTH</w:t>
      </w:r>
    </w:p>
    <w:p w14:paraId="3874D716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If indicated: testosterone/LH/SHBG (men); FSH (women); serum protein electrophoresis + urine Bence Jones (myeloma); coeliac antibodies; lateral spine X-rays</w:t>
      </w:r>
    </w:p>
    <w:p w14:paraId="756C2D92" w14:textId="77777777" w:rsidR="00761796" w:rsidRDefault="00000000">
      <w:pPr>
        <w:spacing w:before="120" w:after="40"/>
      </w:pPr>
      <w:r>
        <w:rPr>
          <w:rFonts w:ascii="Calibri" w:hAnsi="Calibri"/>
          <w:b/>
          <w:color w:val="1A3A5C"/>
        </w:rPr>
        <w:t>Vertebral Fracture Assessment (VFA) — Indicated If:</w:t>
      </w:r>
    </w:p>
    <w:p w14:paraId="521D3E49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Height loss ≥4 cm</w:t>
      </w:r>
    </w:p>
    <w:p w14:paraId="46EB6749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Kyphosis or acute back pain with osteoporosis risk</w:t>
      </w:r>
    </w:p>
    <w:p w14:paraId="4FE64385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Long-term glucocorticoid therapy</w:t>
      </w:r>
    </w:p>
    <w:p w14:paraId="4FB923A7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BMD T-score ≤ -2.5</w:t>
      </w:r>
    </w:p>
    <w:p w14:paraId="0C998B72" w14:textId="77777777" w:rsidR="00761796" w:rsidRDefault="00000000">
      <w:pPr>
        <w:spacing w:before="200" w:after="60"/>
      </w:pPr>
      <w:r>
        <w:rPr>
          <w:rFonts w:ascii="Calibri" w:hAnsi="Calibri"/>
          <w:b/>
          <w:color w:val="1A3A5C"/>
          <w:sz w:val="28"/>
        </w:rPr>
        <w:t>5. Non-Pharmacological Management</w:t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9360"/>
      </w:tblGrid>
      <w:tr w:rsidR="00761796" w14:paraId="1D84F672" w14:textId="77777777">
        <w:tc>
          <w:tcPr>
            <w:tcW w:w="9638" w:type="dxa"/>
            <w:shd w:val="clear" w:color="auto" w:fill="E6F4E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79875CB7" w14:textId="77777777" w:rsidR="00761796" w:rsidRDefault="00000000">
            <w:pPr>
              <w:spacing w:after="30"/>
            </w:pPr>
            <w:r>
              <w:rPr>
                <w:rFonts w:ascii="Calibri" w:hAnsi="Calibri"/>
                <w:b/>
                <w:color w:val="1A7A3A"/>
                <w:sz w:val="19"/>
              </w:rPr>
              <w:t>🌿  Lifestyle Advice — All Patients</w:t>
            </w:r>
          </w:p>
          <w:p w14:paraId="58FCE38C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1A7A3A"/>
                <w:sz w:val="19"/>
              </w:rPr>
              <w:t>• Weight-bearing exercise AND muscle-strengthening/resistance exercise</w:t>
            </w:r>
          </w:p>
          <w:p w14:paraId="78B2507E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1A7A3A"/>
                <w:sz w:val="19"/>
              </w:rPr>
              <w:t>• Dietary calcium: ≥700 mg/day (dairy, leafy greens, fortified foods)</w:t>
            </w:r>
          </w:p>
          <w:p w14:paraId="6BC6DB6C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1A7A3A"/>
                <w:sz w:val="19"/>
              </w:rPr>
              <w:t>• Vitamin D: 800 IU colecalciferol daily for elderly/housebound (NICE NG187)</w:t>
            </w:r>
          </w:p>
          <w:p w14:paraId="46DC9C92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1A7A3A"/>
                <w:sz w:val="19"/>
              </w:rPr>
              <w:t>• Smoking cessation — smoking accelerates bone loss</w:t>
            </w:r>
          </w:p>
          <w:p w14:paraId="186F5AE4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1A7A3A"/>
                <w:sz w:val="19"/>
              </w:rPr>
              <w:t>• Alcohol: &lt;14 units/week</w:t>
            </w:r>
          </w:p>
          <w:p w14:paraId="02FEAC1B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1A7A3A"/>
                <w:sz w:val="19"/>
              </w:rPr>
              <w:t>• Falls prevention: home hazard assessment, balance training, hip protectors in frail patients</w:t>
            </w:r>
          </w:p>
          <w:p w14:paraId="7F1D4206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1A7A3A"/>
                <w:sz w:val="19"/>
              </w:rPr>
              <w:t>• Maintain healthy BMI (not &lt;19 kg/m²)</w:t>
            </w:r>
          </w:p>
          <w:p w14:paraId="207AE58F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1A7A3A"/>
                <w:sz w:val="19"/>
              </w:rPr>
              <w:t>• Correct vitamin D deficiency BEFORE starting bisphosphonates (hypocalcaemia risk)</w:t>
            </w:r>
          </w:p>
          <w:p w14:paraId="25C54F6E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1A7A3A"/>
                <w:sz w:val="19"/>
              </w:rPr>
              <w:t>• Calcium supplements: at least 2 hours apart from oral bisphosphonates</w:t>
            </w:r>
          </w:p>
        </w:tc>
      </w:tr>
    </w:tbl>
    <w:p w14:paraId="10EF31D5" w14:textId="77777777" w:rsidR="00761796" w:rsidRDefault="00761796"/>
    <w:p w14:paraId="7E601CE4" w14:textId="77777777" w:rsidR="00592453" w:rsidRDefault="00592453">
      <w:pPr>
        <w:rPr>
          <w:rFonts w:ascii="Calibri" w:hAnsi="Calibri"/>
          <w:b/>
          <w:color w:val="007A87"/>
          <w:sz w:val="28"/>
        </w:rPr>
      </w:pPr>
      <w:r>
        <w:rPr>
          <w:rFonts w:ascii="Calibri" w:hAnsi="Calibri"/>
          <w:b/>
          <w:color w:val="007A87"/>
          <w:sz w:val="28"/>
        </w:rPr>
        <w:br w:type="page"/>
      </w:r>
    </w:p>
    <w:p w14:paraId="4357779E" w14:textId="18B1F712" w:rsidR="00761796" w:rsidRDefault="00000000">
      <w:pPr>
        <w:spacing w:before="200" w:after="60"/>
      </w:pPr>
      <w:r>
        <w:rPr>
          <w:rFonts w:ascii="Calibri" w:hAnsi="Calibri"/>
          <w:b/>
          <w:color w:val="007A87"/>
          <w:sz w:val="28"/>
        </w:rPr>
        <w:lastRenderedPageBreak/>
        <w:t>6. Pharmacological Management — NICE NG38 2025</w:t>
      </w:r>
    </w:p>
    <w:p w14:paraId="0D94CDEE" w14:textId="77777777" w:rsidR="00761796" w:rsidRDefault="00000000">
      <w:pPr>
        <w:spacing w:before="120" w:after="40"/>
      </w:pPr>
      <w:r>
        <w:rPr>
          <w:rFonts w:ascii="Calibri" w:hAnsi="Calibri"/>
          <w:b/>
          <w:color w:val="1A3A5C"/>
        </w:rPr>
        <w:t>When to Treat (Secondary Prevention)</w:t>
      </w:r>
    </w:p>
    <w:p w14:paraId="20ACDBA9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Women ≥75 with fragility fracture → treat empirically — NO DXA needed</w:t>
      </w:r>
    </w:p>
    <w:p w14:paraId="22739EB7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Women 65–74 with fragility fracture → treat if DXA confirms osteoporosis (T-score ≤ -2.5)</w:t>
      </w:r>
    </w:p>
    <w:p w14:paraId="489C8E6C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Women &lt;65 with fragility fracture → treat if T-score ≤ -3.0 OR confirmed osteoporosis + ≥1 risk factor</w:t>
      </w:r>
    </w:p>
    <w:p w14:paraId="3910AB10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Primary prevention → use FRAX + DXA → treat above age-adjusted intervention threshold</w:t>
      </w:r>
    </w:p>
    <w:p w14:paraId="4F7F58E2" w14:textId="77777777" w:rsidR="00761796" w:rsidRDefault="00000000">
      <w:pPr>
        <w:spacing w:before="120" w:after="40"/>
      </w:pPr>
      <w:r>
        <w:rPr>
          <w:rFonts w:ascii="Calibri" w:hAnsi="Calibri"/>
          <w:b/>
          <w:color w:val="1A3A5C"/>
        </w:rPr>
        <w:t>First-Line: Oral Bisphosphonates</w:t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2351"/>
        <w:gridCol w:w="2333"/>
        <w:gridCol w:w="2329"/>
        <w:gridCol w:w="2347"/>
      </w:tblGrid>
      <w:tr w:rsidR="00761796" w14:paraId="75892833" w14:textId="77777777">
        <w:tc>
          <w:tcPr>
            <w:tcW w:w="2409" w:type="dxa"/>
            <w:shd w:val="clear" w:color="auto" w:fill="1A3A5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81A84C" w14:textId="77777777" w:rsidR="00761796" w:rsidRDefault="00000000">
            <w:pPr>
              <w:spacing w:after="0"/>
            </w:pPr>
            <w:r>
              <w:rPr>
                <w:rFonts w:ascii="Calibri" w:hAnsi="Calibri"/>
                <w:b/>
                <w:color w:val="FFFFFF"/>
                <w:sz w:val="19"/>
              </w:rPr>
              <w:t>Drug</w:t>
            </w:r>
          </w:p>
        </w:tc>
        <w:tc>
          <w:tcPr>
            <w:tcW w:w="2409" w:type="dxa"/>
            <w:shd w:val="clear" w:color="auto" w:fill="1A3A5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224F6B" w14:textId="77777777" w:rsidR="00761796" w:rsidRDefault="00000000">
            <w:pPr>
              <w:spacing w:after="0"/>
            </w:pPr>
            <w:r>
              <w:rPr>
                <w:rFonts w:ascii="Calibri" w:hAnsi="Calibri"/>
                <w:b/>
                <w:color w:val="FFFFFF"/>
                <w:sz w:val="19"/>
              </w:rPr>
              <w:t>Dose</w:t>
            </w:r>
          </w:p>
        </w:tc>
        <w:tc>
          <w:tcPr>
            <w:tcW w:w="2409" w:type="dxa"/>
            <w:shd w:val="clear" w:color="auto" w:fill="1A3A5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4D6D40" w14:textId="77777777" w:rsidR="00761796" w:rsidRDefault="00000000">
            <w:pPr>
              <w:spacing w:after="0"/>
            </w:pPr>
            <w:r>
              <w:rPr>
                <w:rFonts w:ascii="Calibri" w:hAnsi="Calibri"/>
                <w:b/>
                <w:color w:val="FFFFFF"/>
                <w:sz w:val="19"/>
              </w:rPr>
              <w:t>Route</w:t>
            </w:r>
          </w:p>
        </w:tc>
        <w:tc>
          <w:tcPr>
            <w:tcW w:w="2409" w:type="dxa"/>
            <w:shd w:val="clear" w:color="auto" w:fill="1A3A5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64FEA1" w14:textId="77777777" w:rsidR="00761796" w:rsidRDefault="00000000">
            <w:pPr>
              <w:spacing w:after="0"/>
            </w:pPr>
            <w:r>
              <w:rPr>
                <w:rFonts w:ascii="Calibri" w:hAnsi="Calibri"/>
                <w:b/>
                <w:color w:val="FFFFFF"/>
                <w:sz w:val="19"/>
              </w:rPr>
              <w:t>Key Notes</w:t>
            </w:r>
          </w:p>
        </w:tc>
      </w:tr>
      <w:tr w:rsidR="00761796" w14:paraId="75220AE5" w14:textId="77777777">
        <w:tc>
          <w:tcPr>
            <w:tcW w:w="2409" w:type="dxa"/>
            <w:shd w:val="clear" w:color="auto" w:fill="E8F4FB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D811D5" w14:textId="77777777" w:rsidR="00761796" w:rsidRDefault="00000000">
            <w:pPr>
              <w:spacing w:after="0"/>
            </w:pPr>
            <w:r>
              <w:rPr>
                <w:rFonts w:ascii="Calibri" w:hAnsi="Calibri"/>
                <w:b/>
                <w:sz w:val="17"/>
              </w:rPr>
              <w:t>Alendronic acid ★ FIRST LINE</w:t>
            </w:r>
          </w:p>
        </w:tc>
        <w:tc>
          <w:tcPr>
            <w:tcW w:w="2409" w:type="dxa"/>
            <w:shd w:val="clear" w:color="auto" w:fill="E8F4FB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30E208" w14:textId="77777777" w:rsidR="00761796" w:rsidRDefault="00000000">
            <w:pPr>
              <w:spacing w:after="0"/>
            </w:pPr>
            <w:r>
              <w:rPr>
                <w:rFonts w:ascii="Calibri" w:hAnsi="Calibri"/>
                <w:sz w:val="17"/>
              </w:rPr>
              <w:t>70 mg once weekly</w:t>
            </w:r>
          </w:p>
        </w:tc>
        <w:tc>
          <w:tcPr>
            <w:tcW w:w="2409" w:type="dxa"/>
            <w:shd w:val="clear" w:color="auto" w:fill="E8F4FB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5C3BF4" w14:textId="77777777" w:rsidR="00761796" w:rsidRDefault="00000000">
            <w:pPr>
              <w:spacing w:after="0"/>
            </w:pPr>
            <w:r>
              <w:rPr>
                <w:rFonts w:ascii="Calibri" w:hAnsi="Calibri"/>
                <w:sz w:val="17"/>
              </w:rPr>
              <w:t>Oral</w:t>
            </w:r>
          </w:p>
        </w:tc>
        <w:tc>
          <w:tcPr>
            <w:tcW w:w="2409" w:type="dxa"/>
            <w:shd w:val="clear" w:color="auto" w:fill="E8F4FB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4BA76" w14:textId="77777777" w:rsidR="00761796" w:rsidRDefault="00000000">
            <w:pPr>
              <w:spacing w:after="0"/>
            </w:pPr>
            <w:r>
              <w:rPr>
                <w:rFonts w:ascii="Calibri" w:hAnsi="Calibri"/>
                <w:sz w:val="17"/>
              </w:rPr>
              <w:t>Fasting, full glass of water, upright 30 min before food/meds. Generic. NNT 14 (vertebral Fx)</w:t>
            </w:r>
          </w:p>
        </w:tc>
      </w:tr>
      <w:tr w:rsidR="00761796" w14:paraId="4C94C584" w14:textId="77777777">
        <w:tc>
          <w:tcPr>
            <w:tcW w:w="240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08DEB7" w14:textId="77777777" w:rsidR="00761796" w:rsidRDefault="00000000">
            <w:pPr>
              <w:spacing w:after="0"/>
            </w:pPr>
            <w:r>
              <w:rPr>
                <w:rFonts w:ascii="Calibri" w:hAnsi="Calibri"/>
                <w:b/>
                <w:sz w:val="17"/>
              </w:rPr>
              <w:t>Risedronate ★ ALTERNATIVE</w:t>
            </w:r>
          </w:p>
        </w:tc>
        <w:tc>
          <w:tcPr>
            <w:tcW w:w="240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54DF23" w14:textId="77777777" w:rsidR="00761796" w:rsidRDefault="00000000">
            <w:pPr>
              <w:spacing w:after="0"/>
            </w:pPr>
            <w:r>
              <w:rPr>
                <w:rFonts w:ascii="Calibri" w:hAnsi="Calibri"/>
                <w:sz w:val="17"/>
              </w:rPr>
              <w:t>35 mg once weekly</w:t>
            </w:r>
          </w:p>
        </w:tc>
        <w:tc>
          <w:tcPr>
            <w:tcW w:w="240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00EE3A" w14:textId="77777777" w:rsidR="00761796" w:rsidRDefault="00000000">
            <w:pPr>
              <w:spacing w:after="0"/>
            </w:pPr>
            <w:r>
              <w:rPr>
                <w:rFonts w:ascii="Calibri" w:hAnsi="Calibri"/>
                <w:sz w:val="17"/>
              </w:rPr>
              <w:t>Oral</w:t>
            </w:r>
          </w:p>
        </w:tc>
        <w:tc>
          <w:tcPr>
            <w:tcW w:w="240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BFD681" w14:textId="77777777" w:rsidR="00761796" w:rsidRDefault="00000000">
            <w:pPr>
              <w:spacing w:after="0"/>
            </w:pPr>
            <w:r>
              <w:rPr>
                <w:rFonts w:ascii="Calibri" w:hAnsi="Calibri"/>
                <w:sz w:val="17"/>
              </w:rPr>
              <w:t>Same rules as alendronate. If alendronate not tolerated.</w:t>
            </w:r>
          </w:p>
        </w:tc>
      </w:tr>
      <w:tr w:rsidR="00761796" w14:paraId="51EF0FF3" w14:textId="77777777">
        <w:tc>
          <w:tcPr>
            <w:tcW w:w="2409" w:type="dxa"/>
            <w:shd w:val="clear" w:color="auto" w:fill="E8F4FB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6A2AB4" w14:textId="77777777" w:rsidR="00761796" w:rsidRDefault="00000000">
            <w:pPr>
              <w:spacing w:after="0"/>
            </w:pPr>
            <w:r>
              <w:rPr>
                <w:rFonts w:ascii="Calibri" w:hAnsi="Calibri"/>
                <w:b/>
                <w:sz w:val="17"/>
              </w:rPr>
              <w:t>Ibandronate</w:t>
            </w:r>
          </w:p>
        </w:tc>
        <w:tc>
          <w:tcPr>
            <w:tcW w:w="2409" w:type="dxa"/>
            <w:shd w:val="clear" w:color="auto" w:fill="E8F4FB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F4F563" w14:textId="77777777" w:rsidR="00761796" w:rsidRDefault="00000000">
            <w:pPr>
              <w:spacing w:after="0"/>
            </w:pPr>
            <w:r>
              <w:rPr>
                <w:rFonts w:ascii="Calibri" w:hAnsi="Calibri"/>
                <w:sz w:val="17"/>
              </w:rPr>
              <w:t>150 mg monthly / 3 mg IV q3 months</w:t>
            </w:r>
          </w:p>
        </w:tc>
        <w:tc>
          <w:tcPr>
            <w:tcW w:w="2409" w:type="dxa"/>
            <w:shd w:val="clear" w:color="auto" w:fill="E8F4FB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76A111" w14:textId="77777777" w:rsidR="00761796" w:rsidRDefault="00000000">
            <w:pPr>
              <w:spacing w:after="0"/>
            </w:pPr>
            <w:r>
              <w:rPr>
                <w:rFonts w:ascii="Calibri" w:hAnsi="Calibri"/>
                <w:sz w:val="17"/>
              </w:rPr>
              <w:t>Oral / IV</w:t>
            </w:r>
          </w:p>
        </w:tc>
        <w:tc>
          <w:tcPr>
            <w:tcW w:w="2409" w:type="dxa"/>
            <w:shd w:val="clear" w:color="auto" w:fill="E8F4FB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0E12AB" w14:textId="77777777" w:rsidR="00761796" w:rsidRDefault="00000000">
            <w:pPr>
              <w:spacing w:after="0"/>
            </w:pPr>
            <w:r>
              <w:rPr>
                <w:rFonts w:ascii="Calibri" w:hAnsi="Calibri"/>
                <w:sz w:val="17"/>
              </w:rPr>
              <w:t>If compliance issues. Lower hip Fx evidence.</w:t>
            </w:r>
          </w:p>
        </w:tc>
      </w:tr>
      <w:tr w:rsidR="00761796" w14:paraId="25A918C7" w14:textId="77777777">
        <w:tc>
          <w:tcPr>
            <w:tcW w:w="240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43B158" w14:textId="77777777" w:rsidR="00761796" w:rsidRDefault="00000000">
            <w:pPr>
              <w:spacing w:after="0"/>
            </w:pPr>
            <w:r>
              <w:rPr>
                <w:rFonts w:ascii="Calibri" w:hAnsi="Calibri"/>
                <w:b/>
                <w:sz w:val="17"/>
              </w:rPr>
              <w:t>Zoledronic acid ★ IV</w:t>
            </w:r>
          </w:p>
        </w:tc>
        <w:tc>
          <w:tcPr>
            <w:tcW w:w="240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F77587" w14:textId="77777777" w:rsidR="00761796" w:rsidRDefault="00000000">
            <w:pPr>
              <w:spacing w:after="0"/>
            </w:pPr>
            <w:r>
              <w:rPr>
                <w:rFonts w:ascii="Calibri" w:hAnsi="Calibri"/>
                <w:sz w:val="17"/>
              </w:rPr>
              <w:t>5 mg once yearly</w:t>
            </w:r>
          </w:p>
        </w:tc>
        <w:tc>
          <w:tcPr>
            <w:tcW w:w="240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649FDA" w14:textId="77777777" w:rsidR="00761796" w:rsidRDefault="00000000">
            <w:pPr>
              <w:spacing w:after="0"/>
            </w:pPr>
            <w:r>
              <w:rPr>
                <w:rFonts w:ascii="Calibri" w:hAnsi="Calibri"/>
                <w:sz w:val="17"/>
              </w:rPr>
              <w:t>IV (≥15 min)</w:t>
            </w:r>
          </w:p>
        </w:tc>
        <w:tc>
          <w:tcPr>
            <w:tcW w:w="240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551F92" w14:textId="77777777" w:rsidR="00761796" w:rsidRDefault="00000000">
            <w:pPr>
              <w:spacing w:after="0"/>
            </w:pPr>
            <w:r>
              <w:rPr>
                <w:rFonts w:ascii="Calibri" w:hAnsi="Calibri"/>
                <w:sz w:val="17"/>
              </w:rPr>
              <w:t>If oral not tolerated; post-hip Fx. Flu symptoms after 1st dose. CrCl must be ≥35 mL/min.</w:t>
            </w:r>
          </w:p>
        </w:tc>
      </w:tr>
    </w:tbl>
    <w:p w14:paraId="632863FB" w14:textId="77777777" w:rsidR="00761796" w:rsidRPr="00592453" w:rsidRDefault="00761796">
      <w:pPr>
        <w:rPr>
          <w:sz w:val="2"/>
          <w:szCs w:val="2"/>
        </w:rPr>
      </w:pPr>
    </w:p>
    <w:tbl>
      <w:tblPr>
        <w:tblW w:w="9360" w:type="dxa"/>
        <w:tblLook w:val="04A0" w:firstRow="1" w:lastRow="0" w:firstColumn="1" w:lastColumn="0" w:noHBand="0" w:noVBand="1"/>
      </w:tblPr>
      <w:tblGrid>
        <w:gridCol w:w="9360"/>
      </w:tblGrid>
      <w:tr w:rsidR="00761796" w14:paraId="73991ABE" w14:textId="77777777">
        <w:tc>
          <w:tcPr>
            <w:tcW w:w="9638" w:type="dxa"/>
            <w:shd w:val="clear" w:color="auto" w:fill="FFF3CD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1F907E49" w14:textId="77777777" w:rsidR="00761796" w:rsidRDefault="00000000">
            <w:pPr>
              <w:spacing w:after="30"/>
            </w:pPr>
            <w:proofErr w:type="gramStart"/>
            <w:r>
              <w:rPr>
                <w:rFonts w:ascii="Calibri" w:hAnsi="Calibri"/>
                <w:b/>
                <w:color w:val="FF8C00"/>
                <w:sz w:val="19"/>
              </w:rPr>
              <w:t>⚠  Bisphosphonate</w:t>
            </w:r>
            <w:proofErr w:type="gramEnd"/>
            <w:r>
              <w:rPr>
                <w:rFonts w:ascii="Calibri" w:hAnsi="Calibri"/>
                <w:b/>
                <w:color w:val="FF8C00"/>
                <w:sz w:val="19"/>
              </w:rPr>
              <w:t xml:space="preserve"> Safety</w:t>
            </w:r>
          </w:p>
          <w:p w14:paraId="054971CB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FF8C00"/>
                <w:sz w:val="19"/>
              </w:rPr>
              <w:t>⚠  Contraindications: CrCl &lt;30 mL/min · oesophageal abnormalities · unable to stay upright 30 min · hypocalcaemia</w:t>
            </w:r>
          </w:p>
          <w:p w14:paraId="6D9F1FDB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FF8C00"/>
                <w:sz w:val="19"/>
              </w:rPr>
              <w:t>⚠  Long-term (rare): osteonecrosis of jaw (ONJ) · atypical femoral fracture after &gt;5 years</w:t>
            </w:r>
          </w:p>
          <w:p w14:paraId="0C960DB9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FF8C00"/>
                <w:sz w:val="19"/>
              </w:rPr>
              <w:t>⚠  Dental review recommended before starting</w:t>
            </w:r>
          </w:p>
        </w:tc>
      </w:tr>
    </w:tbl>
    <w:p w14:paraId="53A3CF20" w14:textId="77777777" w:rsidR="00761796" w:rsidRPr="00592453" w:rsidRDefault="00761796">
      <w:pPr>
        <w:rPr>
          <w:sz w:val="2"/>
          <w:szCs w:val="2"/>
        </w:rPr>
      </w:pPr>
    </w:p>
    <w:tbl>
      <w:tblPr>
        <w:tblW w:w="9360" w:type="dxa"/>
        <w:tblLook w:val="04A0" w:firstRow="1" w:lastRow="0" w:firstColumn="1" w:lastColumn="0" w:noHBand="0" w:noVBand="1"/>
      </w:tblPr>
      <w:tblGrid>
        <w:gridCol w:w="9360"/>
      </w:tblGrid>
      <w:tr w:rsidR="00761796" w14:paraId="3A7B4FC9" w14:textId="77777777">
        <w:tc>
          <w:tcPr>
            <w:tcW w:w="9638" w:type="dxa"/>
            <w:shd w:val="clear" w:color="auto" w:fill="FCE4E4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4E4DF23D" w14:textId="77777777" w:rsidR="00761796" w:rsidRDefault="00000000">
            <w:pPr>
              <w:spacing w:after="30"/>
            </w:pPr>
            <w:proofErr w:type="gramStart"/>
            <w:r>
              <w:rPr>
                <w:rFonts w:ascii="Calibri" w:hAnsi="Calibri"/>
                <w:b/>
                <w:color w:val="C00000"/>
                <w:sz w:val="19"/>
              </w:rPr>
              <w:t>✗  Obsolete</w:t>
            </w:r>
            <w:proofErr w:type="gramEnd"/>
            <w:r>
              <w:rPr>
                <w:rFonts w:ascii="Calibri" w:hAnsi="Calibri"/>
                <w:b/>
                <w:color w:val="C00000"/>
                <w:sz w:val="19"/>
              </w:rPr>
              <w:t xml:space="preserve"> Treatments — Do NOT Use</w:t>
            </w:r>
          </w:p>
          <w:p w14:paraId="1F52F26B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C00000"/>
                <w:sz w:val="19"/>
              </w:rPr>
              <w:t>✗  ETIDRONATE — now OBSOLETE. Superseded by alendronate/risedronate.</w:t>
            </w:r>
          </w:p>
          <w:p w14:paraId="4C2AA7B2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C00000"/>
                <w:sz w:val="19"/>
              </w:rPr>
              <w:t>✗  CALCITONIN — no longer recommended for fracture prevention (short-term pain relief only ≤3 months post-vertebral fracture)</w:t>
            </w:r>
          </w:p>
          <w:p w14:paraId="1B7033AE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C00000"/>
                <w:sz w:val="19"/>
              </w:rPr>
              <w:t>✗  TIBOLONE — not recommended as primary osteoporosis treatment</w:t>
            </w:r>
          </w:p>
        </w:tc>
      </w:tr>
    </w:tbl>
    <w:p w14:paraId="27B0A6FD" w14:textId="77777777" w:rsidR="00761796" w:rsidRPr="00592453" w:rsidRDefault="00761796">
      <w:pPr>
        <w:rPr>
          <w:sz w:val="2"/>
          <w:szCs w:val="2"/>
        </w:rPr>
      </w:pPr>
    </w:p>
    <w:p w14:paraId="3F031100" w14:textId="77777777" w:rsidR="00761796" w:rsidRDefault="00000000">
      <w:pPr>
        <w:spacing w:before="120" w:after="40"/>
      </w:pPr>
      <w:r>
        <w:rPr>
          <w:rFonts w:ascii="Calibri" w:hAnsi="Calibri"/>
          <w:b/>
          <w:color w:val="1A3A5C"/>
        </w:rPr>
        <w:t>Second-Line: Denosumab (Prolia®)</w:t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9360"/>
      </w:tblGrid>
      <w:tr w:rsidR="00761796" w14:paraId="69833CE7" w14:textId="77777777">
        <w:tc>
          <w:tcPr>
            <w:tcW w:w="9638" w:type="dxa"/>
            <w:shd w:val="clear" w:color="auto" w:fill="F0E6F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73B005B6" w14:textId="77777777" w:rsidR="00761796" w:rsidRDefault="00000000">
            <w:pPr>
              <w:spacing w:after="30"/>
            </w:pPr>
            <w:r>
              <w:rPr>
                <w:rFonts w:ascii="Calibri" w:hAnsi="Calibri"/>
                <w:b/>
                <w:color w:val="5B2D8E"/>
                <w:sz w:val="19"/>
              </w:rPr>
              <w:t>💉  Denosumab — Second-Line</w:t>
            </w:r>
          </w:p>
          <w:p w14:paraId="42D819B8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5B2D8E"/>
                <w:sz w:val="19"/>
              </w:rPr>
              <w:t>Mechanism: RANK-ligand inhibitor — reduces osteoclast activity</w:t>
            </w:r>
          </w:p>
          <w:p w14:paraId="775F7265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5B2D8E"/>
                <w:sz w:val="19"/>
              </w:rPr>
              <w:t>Dose: 60 mg subcutaneous injection every 6 months</w:t>
            </w:r>
          </w:p>
          <w:p w14:paraId="23B482A1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5B2D8E"/>
                <w:sz w:val="19"/>
              </w:rPr>
              <w:t>Indications: oral bisphosphonate intolerance/contraindication (e.g. CKD); alternative first-line</w:t>
            </w:r>
          </w:p>
          <w:p w14:paraId="5F0430BB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5B2D8E"/>
                <w:sz w:val="19"/>
              </w:rPr>
              <w:t>Monitor serum calcium before each dose (hypocalcaemia risk)</w:t>
            </w:r>
          </w:p>
          <w:p w14:paraId="3ECE5265" w14:textId="77777777" w:rsidR="00761796" w:rsidRDefault="00761796">
            <w:pPr>
              <w:spacing w:after="20"/>
            </w:pPr>
          </w:p>
          <w:p w14:paraId="0C3BCC14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5B2D8E"/>
                <w:sz w:val="19"/>
              </w:rPr>
              <w:t>🚨  NEVER STOP DENOSUMAB ABRUPTLY</w:t>
            </w:r>
          </w:p>
          <w:p w14:paraId="6D10D781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5B2D8E"/>
                <w:sz w:val="19"/>
              </w:rPr>
              <w:t>Abrupt discontinuation → rapid bone loss → HIGH RISK of multiple rebound vertebral fractures</w:t>
            </w:r>
          </w:p>
          <w:p w14:paraId="3A287191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5B2D8E"/>
                <w:sz w:val="19"/>
              </w:rPr>
              <w:t>On stopping: MUST transition to bisphosphonate (~6 months after last denosumab dose)</w:t>
            </w:r>
          </w:p>
          <w:p w14:paraId="3C998B56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5B2D8E"/>
                <w:sz w:val="19"/>
              </w:rPr>
              <w:t>Side effects: hypocalcaemia · eczema · injection site cellulitis · ONJ (rare)</w:t>
            </w:r>
          </w:p>
        </w:tc>
      </w:tr>
    </w:tbl>
    <w:p w14:paraId="6AC461E0" w14:textId="77777777" w:rsidR="00761796" w:rsidRDefault="00761796"/>
    <w:p w14:paraId="0AEBC72A" w14:textId="77777777" w:rsidR="00761796" w:rsidRDefault="00000000">
      <w:pPr>
        <w:spacing w:before="120" w:after="40"/>
      </w:pPr>
      <w:r>
        <w:rPr>
          <w:rFonts w:ascii="Calibri" w:hAnsi="Calibri"/>
          <w:b/>
          <w:color w:val="1A3A5C"/>
        </w:rPr>
        <w:lastRenderedPageBreak/>
        <w:t>Other Second-Line Options</w:t>
      </w:r>
    </w:p>
    <w:p w14:paraId="1244423E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Raloxifene 60 mg daily — reduces vertebral Fx risk; does NOT reduce hip/wrist Fx; ⚠ increases VTE risk — contraindicated if DVT/PE history</w:t>
      </w:r>
    </w:p>
    <w:p w14:paraId="5FAE0FE6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HRT — consider in women ≤60 with menopausal symptoms + high fracture risk; needs 5–10 years for fracture benefit</w:t>
      </w:r>
    </w:p>
    <w:p w14:paraId="33A4E06B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Strontium ranelate — specialist use only; cardiovascular risk assessment required</w:t>
      </w:r>
    </w:p>
    <w:p w14:paraId="574237FF" w14:textId="77777777" w:rsidR="00761796" w:rsidRDefault="00000000">
      <w:pPr>
        <w:spacing w:before="120" w:after="40"/>
      </w:pPr>
      <w:r>
        <w:rPr>
          <w:rFonts w:ascii="Calibri" w:hAnsi="Calibri"/>
          <w:b/>
          <w:color w:val="1A3A5C"/>
        </w:rPr>
        <w:t>Anabolic Agents — Specialist Use / Secondary Care Only</w:t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9360"/>
      </w:tblGrid>
      <w:tr w:rsidR="00761796" w14:paraId="67D89EA6" w14:textId="77777777">
        <w:tc>
          <w:tcPr>
            <w:tcW w:w="9638" w:type="dxa"/>
            <w:shd w:val="clear" w:color="auto" w:fill="E8F4FB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226B0449" w14:textId="77777777" w:rsidR="00761796" w:rsidRDefault="00000000">
            <w:pPr>
              <w:spacing w:after="30"/>
            </w:pPr>
            <w:r>
              <w:rPr>
                <w:rFonts w:ascii="Calibri" w:hAnsi="Calibri"/>
                <w:b/>
                <w:color w:val="007A87"/>
                <w:sz w:val="19"/>
              </w:rPr>
              <w:t>🔬  Anabolic Agents</w:t>
            </w:r>
          </w:p>
          <w:p w14:paraId="7E902567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007A87"/>
                <w:sz w:val="19"/>
              </w:rPr>
              <w:t>Teriparatide (Forsteo®): 20 mcg SC daily for up to 24 months (maximum duration)</w:t>
            </w:r>
          </w:p>
          <w:p w14:paraId="7AF7EC28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007A87"/>
                <w:sz w:val="19"/>
              </w:rPr>
              <w:t xml:space="preserve">  Recombinant PTH 1–34 — stimulates bone formation</w:t>
            </w:r>
          </w:p>
          <w:p w14:paraId="142BB198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007A87"/>
                <w:sz w:val="19"/>
              </w:rPr>
              <w:t xml:space="preserve">  For: severe osteoporosis + multiple vertebral fractures; T-score ≤ -4; intolerance to bisphosphonates</w:t>
            </w:r>
          </w:p>
          <w:p w14:paraId="6B48DFD2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007A87"/>
                <w:sz w:val="19"/>
              </w:rPr>
              <w:t xml:space="preserve">  MUST start antiresorptive therapy immediately on completion</w:t>
            </w:r>
          </w:p>
          <w:p w14:paraId="65BF5FB1" w14:textId="77777777" w:rsidR="00761796" w:rsidRDefault="00761796">
            <w:pPr>
              <w:spacing w:after="20"/>
            </w:pPr>
          </w:p>
          <w:p w14:paraId="79C6F26C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007A87"/>
                <w:sz w:val="19"/>
              </w:rPr>
              <w:t>Romosozumab (Evenity®): 210 mg SC once monthly for 12 months (maximum)</w:t>
            </w:r>
          </w:p>
          <w:p w14:paraId="604F135E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007A87"/>
                <w:sz w:val="19"/>
              </w:rPr>
              <w:t xml:space="preserve">  Anti-sclerostin antibody — dual action: increases bone formation + decreases resorption</w:t>
            </w:r>
          </w:p>
          <w:p w14:paraId="54A6D9FC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007A87"/>
                <w:sz w:val="19"/>
              </w:rPr>
              <w:t xml:space="preserve">  For: postmenopausal women at very high fracture risk</w:t>
            </w:r>
          </w:p>
          <w:p w14:paraId="20057469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007A87"/>
                <w:sz w:val="19"/>
              </w:rPr>
              <w:t xml:space="preserve">  🚨 ABSOLUTELY CONTRAINDICATED if prior MI or stroke</w:t>
            </w:r>
          </w:p>
          <w:p w14:paraId="0C4FAE26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007A87"/>
                <w:sz w:val="19"/>
              </w:rPr>
              <w:t xml:space="preserve">  MUST start antiresorptive therapy after 12 months</w:t>
            </w:r>
          </w:p>
        </w:tc>
      </w:tr>
    </w:tbl>
    <w:p w14:paraId="7C4B4501" w14:textId="77777777" w:rsidR="00761796" w:rsidRDefault="00761796"/>
    <w:p w14:paraId="6EA33D7B" w14:textId="77777777" w:rsidR="00761796" w:rsidRDefault="00000000">
      <w:pPr>
        <w:spacing w:before="120" w:after="40"/>
      </w:pPr>
      <w:r>
        <w:rPr>
          <w:rFonts w:ascii="Calibri" w:hAnsi="Calibri"/>
          <w:b/>
          <w:color w:val="1A3A5C"/>
        </w:rPr>
        <w:t>Bisphosphonate Drug Holidays</w:t>
      </w:r>
    </w:p>
    <w:p w14:paraId="077A9D49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After 5 years: review fracture risk</w:t>
      </w:r>
    </w:p>
    <w:p w14:paraId="05F0A7E7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LOW risk → consider 2-year holiday; continue calcium/vitamin D; DXA every 2 years</w:t>
      </w:r>
    </w:p>
    <w:p w14:paraId="7C660D19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HIGH risk (multiple Fx, T-score ≤ -2.5) → continue up to 10 years</w:t>
      </w:r>
    </w:p>
    <w:p w14:paraId="72118385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Restart if BMD declines or new fracture occurs</w:t>
      </w:r>
    </w:p>
    <w:p w14:paraId="0C89AD1B" w14:textId="77777777" w:rsidR="00592453" w:rsidRDefault="00592453">
      <w:pPr>
        <w:rPr>
          <w:rFonts w:ascii="Calibri" w:hAnsi="Calibri"/>
          <w:b/>
          <w:color w:val="1A3A5C"/>
          <w:sz w:val="28"/>
        </w:rPr>
      </w:pPr>
      <w:r>
        <w:rPr>
          <w:rFonts w:ascii="Calibri" w:hAnsi="Calibri"/>
          <w:b/>
          <w:color w:val="1A3A5C"/>
          <w:sz w:val="28"/>
        </w:rPr>
        <w:br w:type="page"/>
      </w:r>
    </w:p>
    <w:p w14:paraId="24EF86DF" w14:textId="48414F3D" w:rsidR="00761796" w:rsidRDefault="00000000">
      <w:pPr>
        <w:spacing w:before="200" w:after="60"/>
      </w:pPr>
      <w:r>
        <w:rPr>
          <w:rFonts w:ascii="Calibri" w:hAnsi="Calibri"/>
          <w:b/>
          <w:color w:val="1A3A5C"/>
          <w:sz w:val="28"/>
        </w:rPr>
        <w:lastRenderedPageBreak/>
        <w:t>7. Glucocorticoid-Induced Osteoporosis (GIOP)</w:t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9360"/>
      </w:tblGrid>
      <w:tr w:rsidR="00761796" w14:paraId="185FC8D2" w14:textId="77777777">
        <w:tc>
          <w:tcPr>
            <w:tcW w:w="9638" w:type="dxa"/>
            <w:shd w:val="clear" w:color="auto" w:fill="FFF3CD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1415CEBD" w14:textId="77777777" w:rsidR="00761796" w:rsidRDefault="00000000">
            <w:pPr>
              <w:spacing w:after="30"/>
            </w:pPr>
            <w:r>
              <w:rPr>
                <w:rFonts w:ascii="Calibri" w:hAnsi="Calibri"/>
                <w:b/>
                <w:color w:val="FF8C00"/>
                <w:sz w:val="19"/>
              </w:rPr>
              <w:t>ℹ  Background</w:t>
            </w:r>
          </w:p>
          <w:p w14:paraId="23A8E534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1A3A5C"/>
                <w:sz w:val="19"/>
              </w:rPr>
              <w:t>Most common secondary cause of osteoporosis in primary care</w:t>
            </w:r>
          </w:p>
          <w:p w14:paraId="216DCCBE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1A3A5C"/>
                <w:sz w:val="19"/>
              </w:rPr>
              <w:t>Bone loss is RAPID in the first 3–6 months of glucocorticoid therapy</w:t>
            </w:r>
          </w:p>
          <w:p w14:paraId="0C544821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1A3A5C"/>
                <w:sz w:val="19"/>
              </w:rPr>
              <w:t>Fracture risk is increased even at low doses — do not wait for bone loss to occur</w:t>
            </w:r>
          </w:p>
        </w:tc>
      </w:tr>
    </w:tbl>
    <w:p w14:paraId="2DA7E7EC" w14:textId="77777777" w:rsidR="00761796" w:rsidRDefault="00761796"/>
    <w:p w14:paraId="1D791517" w14:textId="77777777" w:rsidR="00761796" w:rsidRDefault="00000000">
      <w:pPr>
        <w:spacing w:before="120" w:after="40"/>
      </w:pPr>
      <w:r>
        <w:rPr>
          <w:rFonts w:ascii="Calibri" w:hAnsi="Calibri"/>
          <w:b/>
          <w:color w:val="1A3A5C"/>
        </w:rPr>
        <w:t>When to Start Bone Protection — NICE NG38 2025</w:t>
      </w:r>
    </w:p>
    <w:p w14:paraId="492ACA5A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Prednisolone ≥7.5 mg/day (or equivalent) for ≥3 months OR likely to be needed for ≥3 months</w:t>
      </w:r>
    </w:p>
    <w:p w14:paraId="09A1C4FA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ANY dose in patients aged &gt;70 years</w:t>
      </w:r>
    </w:p>
    <w:p w14:paraId="1E0E5BFA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ANY dose in patients with prior fragility fracture</w:t>
      </w:r>
    </w:p>
    <w:p w14:paraId="27EB3F4B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Start bone protection AT THE SAME TIME as glucocorticoids — do NOT wait</w:t>
      </w:r>
    </w:p>
    <w:p w14:paraId="06E7DFF0" w14:textId="77777777" w:rsidR="00761796" w:rsidRDefault="00000000">
      <w:pPr>
        <w:spacing w:before="120" w:after="40"/>
      </w:pPr>
      <w:r>
        <w:rPr>
          <w:rFonts w:ascii="Calibri" w:hAnsi="Calibri"/>
          <w:b/>
          <w:color w:val="1A3A5C"/>
        </w:rPr>
        <w:t>GIOP Management</w:t>
      </w:r>
    </w:p>
    <w:p w14:paraId="0886BCCD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1. Reduce glucocorticoid dose to minimum effective dose</w:t>
      </w:r>
    </w:p>
    <w:p w14:paraId="3405CA4F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2. Consider glucocorticoid-sparing agents (azathioprine, methotrexate) if appropriate</w:t>
      </w:r>
    </w:p>
    <w:p w14:paraId="5D2EF743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3. Calcium + Vitamin D supplementation (adjuncts — not standalone treatment)</w:t>
      </w:r>
    </w:p>
    <w:p w14:paraId="6DD0B8E0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4. First-line: Alendronic acid 70 mg once weekly OR Risedronate 35 mg once weekly</w:t>
      </w:r>
    </w:p>
    <w:p w14:paraId="7B516D05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5. If oral not tolerated: IV Zoledronic acid 5 mg yearly OR Denosumab 60 mg SC 6-monthly</w:t>
      </w:r>
    </w:p>
    <w:p w14:paraId="7DD05E8F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6. Continue bone protection for duration of glucocorticoid treatment + review on stopping</w:t>
      </w:r>
    </w:p>
    <w:p w14:paraId="3DC89CFE" w14:textId="77777777" w:rsidR="00761796" w:rsidRDefault="00000000">
      <w:pPr>
        <w:pStyle w:val="ListBullet"/>
        <w:spacing w:after="30"/>
      </w:pPr>
      <w:r>
        <w:rPr>
          <w:rFonts w:ascii="Calibri" w:hAnsi="Calibri"/>
          <w:sz w:val="20"/>
        </w:rPr>
        <w:t>7. DXA scan recommended for high-dose/long-term glucocorticoid users</w:t>
      </w:r>
    </w:p>
    <w:p w14:paraId="543B9EA7" w14:textId="77777777" w:rsidR="00761796" w:rsidRDefault="00000000">
      <w:pPr>
        <w:spacing w:before="200" w:after="60"/>
      </w:pPr>
      <w:r>
        <w:rPr>
          <w:rFonts w:ascii="Calibri" w:hAnsi="Calibri"/>
          <w:b/>
          <w:color w:val="1A3A5C"/>
          <w:sz w:val="28"/>
        </w:rPr>
        <w:t>8. Monitoring and Follow-Up</w:t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4662"/>
        <w:gridCol w:w="4698"/>
      </w:tblGrid>
      <w:tr w:rsidR="00761796" w14:paraId="16808949" w14:textId="77777777">
        <w:tc>
          <w:tcPr>
            <w:tcW w:w="4819" w:type="dxa"/>
            <w:shd w:val="clear" w:color="auto" w:fill="007A8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425978" w14:textId="77777777" w:rsidR="00761796" w:rsidRDefault="00000000">
            <w:pPr>
              <w:spacing w:after="0"/>
            </w:pPr>
            <w:r>
              <w:rPr>
                <w:rFonts w:ascii="Calibri" w:hAnsi="Calibri"/>
                <w:b/>
                <w:color w:val="FFFFFF"/>
                <w:sz w:val="20"/>
              </w:rPr>
              <w:t>Aspect</w:t>
            </w:r>
          </w:p>
        </w:tc>
        <w:tc>
          <w:tcPr>
            <w:tcW w:w="4819" w:type="dxa"/>
            <w:shd w:val="clear" w:color="auto" w:fill="007A8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6EFA2E" w14:textId="77777777" w:rsidR="00761796" w:rsidRDefault="00000000">
            <w:pPr>
              <w:spacing w:after="0"/>
            </w:pPr>
            <w:r>
              <w:rPr>
                <w:rFonts w:ascii="Calibri" w:hAnsi="Calibri"/>
                <w:b/>
                <w:color w:val="FFFFFF"/>
                <w:sz w:val="20"/>
              </w:rPr>
              <w:t>Recommendation</w:t>
            </w:r>
          </w:p>
        </w:tc>
      </w:tr>
      <w:tr w:rsidR="00761796" w14:paraId="37EAD2B0" w14:textId="77777777">
        <w:tc>
          <w:tcPr>
            <w:tcW w:w="4819" w:type="dxa"/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1F6F70" w14:textId="77777777" w:rsidR="00761796" w:rsidRDefault="00000000">
            <w:pPr>
              <w:spacing w:after="0"/>
            </w:pPr>
            <w:r>
              <w:rPr>
                <w:rFonts w:ascii="Calibri" w:hAnsi="Calibri"/>
                <w:b/>
                <w:sz w:val="18"/>
              </w:rPr>
              <w:t>Adherence review</w:t>
            </w:r>
          </w:p>
        </w:tc>
        <w:tc>
          <w:tcPr>
            <w:tcW w:w="481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030530" w14:textId="77777777" w:rsidR="00761796" w:rsidRDefault="00000000">
            <w:pPr>
              <w:spacing w:after="0"/>
            </w:pPr>
            <w:r>
              <w:rPr>
                <w:rFonts w:ascii="Calibri" w:hAnsi="Calibri"/>
                <w:sz w:val="18"/>
              </w:rPr>
              <w:t>3, 6, 12 months after initiation — then annually</w:t>
            </w:r>
          </w:p>
        </w:tc>
      </w:tr>
      <w:tr w:rsidR="00761796" w14:paraId="2637E709" w14:textId="77777777">
        <w:tc>
          <w:tcPr>
            <w:tcW w:w="4819" w:type="dxa"/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A17205" w14:textId="77777777" w:rsidR="00761796" w:rsidRDefault="00000000">
            <w:pPr>
              <w:spacing w:after="0"/>
            </w:pPr>
            <w:r>
              <w:rPr>
                <w:rFonts w:ascii="Calibri" w:hAnsi="Calibri"/>
                <w:b/>
                <w:sz w:val="18"/>
              </w:rPr>
              <w:t>DXA (repeat)</w:t>
            </w:r>
          </w:p>
        </w:tc>
        <w:tc>
          <w:tcPr>
            <w:tcW w:w="481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9FF99E" w14:textId="77777777" w:rsidR="00761796" w:rsidRDefault="00000000">
            <w:pPr>
              <w:spacing w:after="0"/>
            </w:pPr>
            <w:r>
              <w:rPr>
                <w:rFonts w:ascii="Calibri" w:hAnsi="Calibri"/>
                <w:sz w:val="18"/>
              </w:rPr>
              <w:t>After 3–5 years; sooner if fracture or risk change</w:t>
            </w:r>
          </w:p>
        </w:tc>
      </w:tr>
      <w:tr w:rsidR="00761796" w14:paraId="6F3F2768" w14:textId="77777777">
        <w:tc>
          <w:tcPr>
            <w:tcW w:w="4819" w:type="dxa"/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A7066E" w14:textId="77777777" w:rsidR="00761796" w:rsidRDefault="00000000">
            <w:pPr>
              <w:spacing w:after="0"/>
            </w:pPr>
            <w:r>
              <w:rPr>
                <w:rFonts w:ascii="Calibri" w:hAnsi="Calibri"/>
                <w:b/>
                <w:sz w:val="18"/>
              </w:rPr>
              <w:t>Serum CTX</w:t>
            </w:r>
          </w:p>
        </w:tc>
        <w:tc>
          <w:tcPr>
            <w:tcW w:w="481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AE92B6" w14:textId="77777777" w:rsidR="00761796" w:rsidRDefault="00000000">
            <w:pPr>
              <w:spacing w:after="0"/>
            </w:pPr>
            <w:r>
              <w:rPr>
                <w:rFonts w:ascii="Calibri" w:hAnsi="Calibri"/>
                <w:sz w:val="18"/>
              </w:rPr>
              <w:t>&gt;30% reduction confirms bisphosphonate response</w:t>
            </w:r>
          </w:p>
        </w:tc>
      </w:tr>
      <w:tr w:rsidR="00761796" w14:paraId="7BFCCE7D" w14:textId="77777777">
        <w:tc>
          <w:tcPr>
            <w:tcW w:w="4819" w:type="dxa"/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D7B212" w14:textId="77777777" w:rsidR="00761796" w:rsidRDefault="00000000">
            <w:pPr>
              <w:spacing w:after="0"/>
            </w:pPr>
            <w:r>
              <w:rPr>
                <w:rFonts w:ascii="Calibri" w:hAnsi="Calibri"/>
                <w:b/>
                <w:sz w:val="18"/>
              </w:rPr>
              <w:t>Bisphosphonate duration</w:t>
            </w:r>
          </w:p>
        </w:tc>
        <w:tc>
          <w:tcPr>
            <w:tcW w:w="481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D74EF4" w14:textId="77777777" w:rsidR="00761796" w:rsidRDefault="00000000">
            <w:pPr>
              <w:spacing w:after="0"/>
            </w:pPr>
            <w:r>
              <w:rPr>
                <w:rFonts w:ascii="Calibri" w:hAnsi="Calibri"/>
                <w:sz w:val="18"/>
              </w:rPr>
              <w:t>5 years → review; extend to 10 years if high risk</w:t>
            </w:r>
          </w:p>
        </w:tc>
      </w:tr>
      <w:tr w:rsidR="00761796" w14:paraId="0A9F8BCB" w14:textId="77777777">
        <w:tc>
          <w:tcPr>
            <w:tcW w:w="4819" w:type="dxa"/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8A882C" w14:textId="77777777" w:rsidR="00761796" w:rsidRDefault="00000000">
            <w:pPr>
              <w:spacing w:after="0"/>
            </w:pPr>
            <w:r>
              <w:rPr>
                <w:rFonts w:ascii="Calibri" w:hAnsi="Calibri"/>
                <w:b/>
                <w:sz w:val="18"/>
              </w:rPr>
              <w:t>Denosumab</w:t>
            </w:r>
          </w:p>
        </w:tc>
        <w:tc>
          <w:tcPr>
            <w:tcW w:w="481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96D613" w14:textId="77777777" w:rsidR="00761796" w:rsidRDefault="00000000">
            <w:pPr>
              <w:spacing w:after="0"/>
            </w:pPr>
            <w:r>
              <w:rPr>
                <w:rFonts w:ascii="Calibri" w:hAnsi="Calibri"/>
                <w:sz w:val="18"/>
              </w:rPr>
              <w:t>Continuous with specialist oversight; do not stop without bisphosphonate transition</w:t>
            </w:r>
          </w:p>
        </w:tc>
      </w:tr>
      <w:tr w:rsidR="00761796" w14:paraId="1695F883" w14:textId="77777777">
        <w:tc>
          <w:tcPr>
            <w:tcW w:w="4819" w:type="dxa"/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C2AC03" w14:textId="77777777" w:rsidR="00761796" w:rsidRDefault="00000000">
            <w:pPr>
              <w:spacing w:after="0"/>
            </w:pPr>
            <w:r>
              <w:rPr>
                <w:rFonts w:ascii="Calibri" w:hAnsi="Calibri"/>
                <w:b/>
                <w:sz w:val="18"/>
              </w:rPr>
              <w:t>Post-anabolic</w:t>
            </w:r>
          </w:p>
        </w:tc>
        <w:tc>
          <w:tcPr>
            <w:tcW w:w="481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4DAA95" w14:textId="77777777" w:rsidR="00761796" w:rsidRDefault="00000000">
            <w:pPr>
              <w:spacing w:after="0"/>
            </w:pPr>
            <w:r>
              <w:rPr>
                <w:rFonts w:ascii="Calibri" w:hAnsi="Calibri"/>
                <w:sz w:val="18"/>
              </w:rPr>
              <w:t>Start antiresorptive immediately after teriparatide/romosozumab</w:t>
            </w:r>
          </w:p>
        </w:tc>
      </w:tr>
      <w:tr w:rsidR="00761796" w14:paraId="4BF8628F" w14:textId="77777777">
        <w:tc>
          <w:tcPr>
            <w:tcW w:w="4819" w:type="dxa"/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6B8007" w14:textId="77777777" w:rsidR="00761796" w:rsidRDefault="00000000">
            <w:pPr>
              <w:spacing w:after="0"/>
            </w:pPr>
            <w:r>
              <w:rPr>
                <w:rFonts w:ascii="Calibri" w:hAnsi="Calibri"/>
                <w:b/>
                <w:sz w:val="18"/>
              </w:rPr>
              <w:t>Fracture Liaison Service</w:t>
            </w:r>
          </w:p>
        </w:tc>
        <w:tc>
          <w:tcPr>
            <w:tcW w:w="481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1B3621" w14:textId="77777777" w:rsidR="00761796" w:rsidRDefault="00000000">
            <w:pPr>
              <w:spacing w:after="0"/>
            </w:pPr>
            <w:r>
              <w:rPr>
                <w:rFonts w:ascii="Calibri" w:hAnsi="Calibri"/>
                <w:sz w:val="18"/>
              </w:rPr>
              <w:t>Refer post-fracture for coordinated assessment and treatment</w:t>
            </w:r>
          </w:p>
        </w:tc>
      </w:tr>
    </w:tbl>
    <w:p w14:paraId="12E9E83C" w14:textId="77777777" w:rsidR="00761796" w:rsidRDefault="00761796"/>
    <w:p w14:paraId="7E50038E" w14:textId="77777777" w:rsidR="00592453" w:rsidRDefault="00592453">
      <w:pPr>
        <w:rPr>
          <w:rFonts w:ascii="Calibri" w:hAnsi="Calibri"/>
          <w:b/>
          <w:color w:val="C00000"/>
          <w:sz w:val="28"/>
        </w:rPr>
      </w:pPr>
      <w:r>
        <w:rPr>
          <w:rFonts w:ascii="Calibri" w:hAnsi="Calibri"/>
          <w:b/>
          <w:color w:val="C00000"/>
          <w:sz w:val="28"/>
        </w:rPr>
        <w:br w:type="page"/>
      </w:r>
    </w:p>
    <w:p w14:paraId="327F08EF" w14:textId="18C2A566" w:rsidR="00761796" w:rsidRDefault="00000000">
      <w:pPr>
        <w:spacing w:before="200" w:after="60"/>
      </w:pPr>
      <w:r>
        <w:rPr>
          <w:rFonts w:ascii="Calibri" w:hAnsi="Calibri"/>
          <w:b/>
          <w:color w:val="C00000"/>
          <w:sz w:val="28"/>
        </w:rPr>
        <w:lastRenderedPageBreak/>
        <w:t>9. Red Flags</w:t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9360"/>
      </w:tblGrid>
      <w:tr w:rsidR="00761796" w14:paraId="41138B37" w14:textId="77777777">
        <w:tc>
          <w:tcPr>
            <w:tcW w:w="9638" w:type="dxa"/>
            <w:shd w:val="clear" w:color="auto" w:fill="FCE4E4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4E868912" w14:textId="77777777" w:rsidR="00761796" w:rsidRDefault="00000000">
            <w:pPr>
              <w:spacing w:after="30"/>
            </w:pPr>
            <w:r>
              <w:rPr>
                <w:rFonts w:ascii="Calibri" w:hAnsi="Calibri"/>
                <w:b/>
                <w:color w:val="C00000"/>
                <w:sz w:val="19"/>
              </w:rPr>
              <w:t>🚨  Red Flags — Act Now</w:t>
            </w:r>
          </w:p>
          <w:p w14:paraId="1A4565FC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C00000"/>
                <w:sz w:val="19"/>
              </w:rPr>
              <w:t>• New back pain in patient with osteoporosis or on long-term steroids → suspect vertebral fracture; urgent spinal imaging</w:t>
            </w:r>
          </w:p>
          <w:p w14:paraId="73664458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C00000"/>
                <w:sz w:val="19"/>
              </w:rPr>
              <w:t>• Bone pain + hypercalcaemia → consider malignancy (myeloma, metastases, hyperparathyroidism)</w:t>
            </w:r>
          </w:p>
          <w:p w14:paraId="3558CEF8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C00000"/>
                <w:sz w:val="19"/>
              </w:rPr>
              <w:t>• Fragility fracture with Z-score &lt;-2.0 → secondary cause MUST be investigated</w:t>
            </w:r>
          </w:p>
          <w:p w14:paraId="2B08C242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C00000"/>
                <w:sz w:val="19"/>
              </w:rPr>
              <w:t>• Acute back pain + neurological symptoms (urinary/bowel dysfunction) → rule out cauda equina — EMERGENCY</w:t>
            </w:r>
          </w:p>
          <w:p w14:paraId="0A11205E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C00000"/>
                <w:sz w:val="19"/>
              </w:rPr>
              <w:t>• Denosumab patient with multiple new vertebral fractures after stopping → urgent specialist review (rebound syndrome)</w:t>
            </w:r>
          </w:p>
          <w:p w14:paraId="4E136713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C00000"/>
                <w:sz w:val="19"/>
              </w:rPr>
              <w:t>• Jaw pain/swelling in patient on bisphosphonate/denosumab → suspect ONJ; refer to oral surgery</w:t>
            </w:r>
          </w:p>
          <w:p w14:paraId="59663531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C00000"/>
                <w:sz w:val="19"/>
              </w:rPr>
              <w:t>• Thigh/groin pain in long-term bisphosphonate user → suspect atypical femoral fracture; urgent X-ray</w:t>
            </w:r>
          </w:p>
        </w:tc>
      </w:tr>
    </w:tbl>
    <w:p w14:paraId="25D0A4D5" w14:textId="77777777" w:rsidR="00761796" w:rsidRDefault="00761796"/>
    <w:p w14:paraId="50504FC7" w14:textId="77777777" w:rsidR="00761796" w:rsidRDefault="00000000">
      <w:pPr>
        <w:spacing w:before="200" w:after="60"/>
      </w:pPr>
      <w:r>
        <w:rPr>
          <w:rFonts w:ascii="Calibri" w:hAnsi="Calibri"/>
          <w:b/>
          <w:color w:val="1A7A3A"/>
          <w:sz w:val="28"/>
        </w:rPr>
        <w:t>10. Top Tips for GP Practice</w:t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9360"/>
      </w:tblGrid>
      <w:tr w:rsidR="00761796" w14:paraId="36A6B1D7" w14:textId="77777777">
        <w:tc>
          <w:tcPr>
            <w:tcW w:w="9638" w:type="dxa"/>
            <w:shd w:val="clear" w:color="auto" w:fill="E6F4E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34115B50" w14:textId="77777777" w:rsidR="00761796" w:rsidRDefault="00000000">
            <w:pPr>
              <w:spacing w:after="30"/>
            </w:pPr>
            <w:r>
              <w:rPr>
                <w:rFonts w:ascii="Calibri" w:hAnsi="Calibri"/>
                <w:b/>
                <w:color w:val="1A7A3A"/>
                <w:sz w:val="19"/>
              </w:rPr>
              <w:t>✅  Top Tips</w:t>
            </w:r>
          </w:p>
          <w:p w14:paraId="18E8D39F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1A7A3A"/>
                <w:sz w:val="19"/>
              </w:rPr>
              <w:t>✅  Correct vitamin D deficiency BEFORE starting bisphosphonates — hypocalcaemia can occur</w:t>
            </w:r>
          </w:p>
          <w:p w14:paraId="370B4025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1A7A3A"/>
                <w:sz w:val="19"/>
              </w:rPr>
              <w:t>✅  Alendronate must be taken correctly: upright, fasting, full glass of water, 30 min before food/meds</w:t>
            </w:r>
          </w:p>
          <w:p w14:paraId="45A8ACEC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1A7A3A"/>
                <w:sz w:val="19"/>
              </w:rPr>
              <w:t>✅  Never stop denosumab abruptly — always plan a bisphosphonate transition first</w:t>
            </w:r>
          </w:p>
          <w:p w14:paraId="72FEBFA2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1A7A3A"/>
                <w:sz w:val="19"/>
              </w:rPr>
              <w:t>✅  Etidronate and calcitonin are obsolete — remove from any active prescribing decisions</w:t>
            </w:r>
          </w:p>
          <w:p w14:paraId="320AAB41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1A7A3A"/>
                <w:sz w:val="19"/>
              </w:rPr>
              <w:t>✅  Start bone protection AT THE SAME TIME as high-dose glucocorticoids — do not wait</w:t>
            </w:r>
          </w:p>
          <w:p w14:paraId="5E58AAC3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1A7A3A"/>
                <w:sz w:val="19"/>
              </w:rPr>
              <w:t>✅  FRAX underestimates risk in: high GC doses, recent fracture, very elderly, frequent falls</w:t>
            </w:r>
          </w:p>
          <w:p w14:paraId="0A9BE5FE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1A7A3A"/>
                <w:sz w:val="19"/>
              </w:rPr>
              <w:t>✅  Hip fracture in women ≥75: treat empirically — no DXA needed before starting bisphosphonate</w:t>
            </w:r>
          </w:p>
          <w:p w14:paraId="19D2EB03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1A7A3A"/>
                <w:sz w:val="19"/>
              </w:rPr>
              <w:t>✅  Romosozumab: check cardiovascular history — absolutely contraindicated if prior MI or stroke</w:t>
            </w:r>
          </w:p>
          <w:p w14:paraId="4B8E8C3C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1A7A3A"/>
                <w:sz w:val="19"/>
              </w:rPr>
              <w:t>✅  Use "POI" (premature ovarian insufficiency) — never "premature menopause"</w:t>
            </w:r>
          </w:p>
        </w:tc>
      </w:tr>
    </w:tbl>
    <w:p w14:paraId="340148FE" w14:textId="77777777" w:rsidR="00761796" w:rsidRDefault="00761796"/>
    <w:p w14:paraId="305A017B" w14:textId="77777777" w:rsidR="00761796" w:rsidRDefault="00000000">
      <w:pPr>
        <w:spacing w:before="200" w:after="60"/>
      </w:pPr>
      <w:r>
        <w:rPr>
          <w:rFonts w:ascii="Calibri" w:hAnsi="Calibri"/>
          <w:b/>
          <w:color w:val="5B2D8E"/>
          <w:sz w:val="28"/>
        </w:rPr>
        <w:t>11. Exam Pearls</w:t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9360"/>
      </w:tblGrid>
      <w:tr w:rsidR="00761796" w14:paraId="2E77105E" w14:textId="77777777">
        <w:tc>
          <w:tcPr>
            <w:tcW w:w="9638" w:type="dxa"/>
            <w:shd w:val="clear" w:color="auto" w:fill="F0E6F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07F790EC" w14:textId="77777777" w:rsidR="00761796" w:rsidRDefault="00000000">
            <w:pPr>
              <w:spacing w:after="30"/>
            </w:pPr>
            <w:r>
              <w:rPr>
                <w:rFonts w:ascii="Calibri" w:hAnsi="Calibri"/>
                <w:b/>
                <w:color w:val="5B2D8E"/>
                <w:sz w:val="19"/>
              </w:rPr>
              <w:t>🟣  AKT Exam Focus</w:t>
            </w:r>
          </w:p>
          <w:p w14:paraId="3F7F5AEB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5B2D8E"/>
                <w:sz w:val="19"/>
              </w:rPr>
              <w:t>🎯  T-score ≤ -2.5 = osteoporosis  ·  -1 to -2.4 = osteopenia  ·  above -1 = normal</w:t>
            </w:r>
          </w:p>
          <w:p w14:paraId="13CFB128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5B2D8E"/>
                <w:sz w:val="19"/>
              </w:rPr>
              <w:t>🎯  First-line: alendronic acid 70 mg ONCE WEEKLY (not daily — common AKT trap)</w:t>
            </w:r>
          </w:p>
          <w:p w14:paraId="21CBFF75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5B2D8E"/>
                <w:sz w:val="19"/>
              </w:rPr>
              <w:t>🎯  Oral bisphosphonate not tolerated → IV zoledronic acid 5 mg yearly OR denosumab 60 mg SC 6-monthly</w:t>
            </w:r>
          </w:p>
          <w:p w14:paraId="2A1400A0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5B2D8E"/>
                <w:sz w:val="19"/>
              </w:rPr>
              <w:t>🎯  GC-induced osteoporosis threshold: prednisolone ≥7.5 mg/day for ≥3 months</w:t>
            </w:r>
          </w:p>
          <w:p w14:paraId="5C68BAC9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5B2D8E"/>
                <w:sz w:val="19"/>
              </w:rPr>
              <w:t>🎯  Teriparatide: 20 mcg SC daily up to 24 months — then MUST start antiresorptive</w:t>
            </w:r>
          </w:p>
          <w:p w14:paraId="38D2A7DB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5B2D8E"/>
                <w:sz w:val="19"/>
              </w:rPr>
              <w:t>🎯  Romosozumab: contraindicated in prior MI/stroke  |  Denosumab: do NOT stop abruptly</w:t>
            </w:r>
          </w:p>
          <w:p w14:paraId="047E598C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5B2D8E"/>
                <w:sz w:val="19"/>
              </w:rPr>
              <w:t>🎯  Vitamin D for elderly/housebound: 800 IU colecalciferol daily (NICE NG187)</w:t>
            </w:r>
          </w:p>
          <w:p w14:paraId="7E3E134B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5B2D8E"/>
                <w:sz w:val="19"/>
              </w:rPr>
              <w:t>🎯  Etidronate and calcitonin: obsolete for fracture prevention</w:t>
            </w:r>
          </w:p>
        </w:tc>
      </w:tr>
    </w:tbl>
    <w:p w14:paraId="28BBC42F" w14:textId="77777777" w:rsidR="00761796" w:rsidRDefault="00761796"/>
    <w:tbl>
      <w:tblPr>
        <w:tblW w:w="9360" w:type="dxa"/>
        <w:tblLook w:val="04A0" w:firstRow="1" w:lastRow="0" w:firstColumn="1" w:lastColumn="0" w:noHBand="0" w:noVBand="1"/>
      </w:tblPr>
      <w:tblGrid>
        <w:gridCol w:w="9360"/>
      </w:tblGrid>
      <w:tr w:rsidR="00761796" w14:paraId="2C633F38" w14:textId="77777777">
        <w:tc>
          <w:tcPr>
            <w:tcW w:w="9638" w:type="dxa"/>
            <w:shd w:val="clear" w:color="auto" w:fill="E0F7F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46621757" w14:textId="77777777" w:rsidR="00761796" w:rsidRDefault="00000000">
            <w:pPr>
              <w:spacing w:after="30"/>
            </w:pPr>
            <w:r>
              <w:rPr>
                <w:rFonts w:ascii="Calibri" w:hAnsi="Calibri"/>
                <w:b/>
                <w:color w:val="007A87"/>
                <w:sz w:val="19"/>
              </w:rPr>
              <w:t>🩵  SCA Exam Focus</w:t>
            </w:r>
          </w:p>
          <w:p w14:paraId="3C263D65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007A87"/>
                <w:sz w:val="19"/>
              </w:rPr>
              <w:t>💬  Explore ICE: "What do you understand about osteoporosis?" / "What concerns you most?"</w:t>
            </w:r>
          </w:p>
          <w:p w14:paraId="220E2EE6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007A87"/>
                <w:sz w:val="19"/>
              </w:rPr>
              <w:t>💬  Safety-netting: "If you get new back pain, chest pain, or difficulty swallowing the tablet, stop it and contact us"</w:t>
            </w:r>
          </w:p>
          <w:p w14:paraId="1529F3EA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007A87"/>
                <w:sz w:val="19"/>
              </w:rPr>
              <w:t>💬  Denosumab: "Do not stop this injection without talking to us first — stopping suddenly can cause serious fractures"</w:t>
            </w:r>
          </w:p>
          <w:p w14:paraId="057F20FE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007A87"/>
                <w:sz w:val="19"/>
              </w:rPr>
              <w:t>💬  Breaking news: "Your scan shows bones thinner than we'd like. We have effective treatments to protect you."</w:t>
            </w:r>
          </w:p>
          <w:p w14:paraId="79216099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007A87"/>
                <w:sz w:val="19"/>
              </w:rPr>
              <w:lastRenderedPageBreak/>
              <w:t>💬  Shared decision-making: "There are several options — what matters most to you in choosing a treatment?"</w:t>
            </w:r>
          </w:p>
          <w:p w14:paraId="1083D3DB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007A87"/>
                <w:sz w:val="19"/>
              </w:rPr>
              <w:t>💬  Falls: "Are you worried about falling? We can refer you to physiotherapy for balance and strength"</w:t>
            </w:r>
          </w:p>
        </w:tc>
      </w:tr>
    </w:tbl>
    <w:p w14:paraId="767D05D5" w14:textId="77777777" w:rsidR="00761796" w:rsidRDefault="00761796"/>
    <w:p w14:paraId="3555A8F3" w14:textId="77777777" w:rsidR="00761796" w:rsidRDefault="00000000">
      <w:pPr>
        <w:spacing w:before="200" w:after="60"/>
      </w:pPr>
      <w:r>
        <w:rPr>
          <w:rFonts w:ascii="Calibri" w:hAnsi="Calibri"/>
          <w:b/>
          <w:color w:val="FF8C00"/>
          <w:sz w:val="28"/>
        </w:rPr>
        <w:t>12. Common Pitfalls</w:t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9360"/>
      </w:tblGrid>
      <w:tr w:rsidR="00761796" w14:paraId="6841B474" w14:textId="77777777">
        <w:tc>
          <w:tcPr>
            <w:tcW w:w="9638" w:type="dxa"/>
            <w:shd w:val="clear" w:color="auto" w:fill="FFF3CD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323F53C3" w14:textId="77777777" w:rsidR="00761796" w:rsidRDefault="00000000">
            <w:pPr>
              <w:spacing w:after="30"/>
            </w:pPr>
            <w:r>
              <w:rPr>
                <w:rFonts w:ascii="Calibri" w:hAnsi="Calibri"/>
                <w:b/>
                <w:color w:val="FF8C00"/>
                <w:sz w:val="19"/>
              </w:rPr>
              <w:t>⚠  Common Pitfalls</w:t>
            </w:r>
          </w:p>
          <w:p w14:paraId="427D1F61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FF8C00"/>
                <w:sz w:val="19"/>
              </w:rPr>
              <w:t>⚠  Starting bisphosphonates without correcting vitamin D deficiency first</w:t>
            </w:r>
          </w:p>
          <w:p w14:paraId="5529A746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FF8C00"/>
                <w:sz w:val="19"/>
              </w:rPr>
              <w:t>⚠  Prescribing etidronate or calcitonin for fracture prevention (now obsolete)</w:t>
            </w:r>
          </w:p>
          <w:p w14:paraId="3A031CDE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FF8C00"/>
                <w:sz w:val="19"/>
              </w:rPr>
              <w:t>⚠  Prescribing alendronate 10 mg daily instead of 70 mg once weekly</w:t>
            </w:r>
          </w:p>
          <w:p w14:paraId="247754D4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FF8C00"/>
                <w:sz w:val="19"/>
              </w:rPr>
              <w:t>⚠  Not counselling on correct bisphosphonate administration → GI side effects</w:t>
            </w:r>
          </w:p>
          <w:p w14:paraId="10FE1D3D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FF8C00"/>
                <w:sz w:val="19"/>
              </w:rPr>
              <w:t>⚠  Failing to start bone protection when initiating high-dose glucocorticoids</w:t>
            </w:r>
          </w:p>
          <w:p w14:paraId="7FB466ED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FF8C00"/>
                <w:sz w:val="19"/>
              </w:rPr>
              <w:t>⚠  Stopping denosumab without transitioning to a bisphosphonate → rebound fractures</w:t>
            </w:r>
          </w:p>
          <w:p w14:paraId="46DD9406" w14:textId="77777777" w:rsidR="00761796" w:rsidRPr="00592453" w:rsidRDefault="00000000">
            <w:pPr>
              <w:spacing w:after="20"/>
              <w:rPr>
                <w:lang w:val="fr-FR"/>
              </w:rPr>
            </w:pPr>
            <w:proofErr w:type="gramStart"/>
            <w:r w:rsidRPr="00592453">
              <w:rPr>
                <w:rFonts w:ascii="Calibri" w:hAnsi="Calibri"/>
                <w:color w:val="FF8C00"/>
                <w:sz w:val="19"/>
                <w:lang w:val="fr-FR"/>
              </w:rPr>
              <w:t xml:space="preserve">⚠  </w:t>
            </w:r>
            <w:proofErr w:type="spellStart"/>
            <w:r w:rsidRPr="00592453">
              <w:rPr>
                <w:rFonts w:ascii="Calibri" w:hAnsi="Calibri"/>
                <w:color w:val="FF8C00"/>
                <w:sz w:val="19"/>
                <w:lang w:val="fr-FR"/>
              </w:rPr>
              <w:t>Confusing</w:t>
            </w:r>
            <w:proofErr w:type="spellEnd"/>
            <w:proofErr w:type="gramEnd"/>
            <w:r w:rsidRPr="00592453">
              <w:rPr>
                <w:rFonts w:ascii="Calibri" w:hAnsi="Calibri"/>
                <w:color w:val="FF8C00"/>
                <w:sz w:val="19"/>
                <w:lang w:val="fr-FR"/>
              </w:rPr>
              <w:t xml:space="preserve"> T-score and Z-</w:t>
            </w:r>
            <w:proofErr w:type="gramStart"/>
            <w:r w:rsidRPr="00592453">
              <w:rPr>
                <w:rFonts w:ascii="Calibri" w:hAnsi="Calibri"/>
                <w:color w:val="FF8C00"/>
                <w:sz w:val="19"/>
                <w:lang w:val="fr-FR"/>
              </w:rPr>
              <w:t>score:</w:t>
            </w:r>
            <w:proofErr w:type="gramEnd"/>
            <w:r w:rsidRPr="00592453">
              <w:rPr>
                <w:rFonts w:ascii="Calibri" w:hAnsi="Calibri"/>
                <w:color w:val="FF8C00"/>
                <w:sz w:val="19"/>
                <w:lang w:val="fr-FR"/>
              </w:rPr>
              <w:t xml:space="preserve"> T = </w:t>
            </w:r>
            <w:proofErr w:type="gramStart"/>
            <w:r w:rsidRPr="00592453">
              <w:rPr>
                <w:rFonts w:ascii="Calibri" w:hAnsi="Calibri"/>
                <w:color w:val="FF8C00"/>
                <w:sz w:val="19"/>
                <w:lang w:val="fr-FR"/>
              </w:rPr>
              <w:t>diagnostic;</w:t>
            </w:r>
            <w:proofErr w:type="gramEnd"/>
            <w:r w:rsidRPr="00592453">
              <w:rPr>
                <w:rFonts w:ascii="Calibri" w:hAnsi="Calibri"/>
                <w:color w:val="FF8C00"/>
                <w:sz w:val="19"/>
                <w:lang w:val="fr-FR"/>
              </w:rPr>
              <w:t xml:space="preserve"> Z-score &lt;-2.0 = </w:t>
            </w:r>
            <w:proofErr w:type="spellStart"/>
            <w:r w:rsidRPr="00592453">
              <w:rPr>
                <w:rFonts w:ascii="Calibri" w:hAnsi="Calibri"/>
                <w:color w:val="FF8C00"/>
                <w:sz w:val="19"/>
                <w:lang w:val="fr-FR"/>
              </w:rPr>
              <w:t>secondary</w:t>
            </w:r>
            <w:proofErr w:type="spellEnd"/>
            <w:r w:rsidRPr="00592453">
              <w:rPr>
                <w:rFonts w:ascii="Calibri" w:hAnsi="Calibri"/>
                <w:color w:val="FF8C00"/>
                <w:sz w:val="19"/>
                <w:lang w:val="fr-FR"/>
              </w:rPr>
              <w:t xml:space="preserve"> cause</w:t>
            </w:r>
          </w:p>
          <w:p w14:paraId="3D8482D2" w14:textId="77777777" w:rsidR="00761796" w:rsidRDefault="00000000">
            <w:pPr>
              <w:spacing w:after="20"/>
            </w:pPr>
            <w:proofErr w:type="gramStart"/>
            <w:r>
              <w:rPr>
                <w:rFonts w:ascii="Calibri" w:hAnsi="Calibri"/>
                <w:color w:val="FF8C00"/>
                <w:sz w:val="19"/>
              </w:rPr>
              <w:t>⚠  Saying</w:t>
            </w:r>
            <w:proofErr w:type="gramEnd"/>
            <w:r>
              <w:rPr>
                <w:rFonts w:ascii="Calibri" w:hAnsi="Calibri"/>
                <w:color w:val="FF8C00"/>
                <w:sz w:val="19"/>
              </w:rPr>
              <w:t xml:space="preserve"> "premature </w:t>
            </w:r>
            <w:proofErr w:type="gramStart"/>
            <w:r>
              <w:rPr>
                <w:rFonts w:ascii="Calibri" w:hAnsi="Calibri"/>
                <w:color w:val="FF8C00"/>
                <w:sz w:val="19"/>
              </w:rPr>
              <w:t>menopause" —</w:t>
            </w:r>
            <w:proofErr w:type="gramEnd"/>
            <w:r>
              <w:rPr>
                <w:rFonts w:ascii="Calibri" w:hAnsi="Calibri"/>
                <w:color w:val="FF8C00"/>
                <w:sz w:val="19"/>
              </w:rPr>
              <w:t xml:space="preserve"> correct term is POI (premature ovarian insufficiency)</w:t>
            </w:r>
          </w:p>
          <w:p w14:paraId="1F9B878F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FF8C00"/>
                <w:sz w:val="19"/>
              </w:rPr>
              <w:t>⚠  Over-supplementing calcium beyond dietary needs — cardiovascular risk</w:t>
            </w:r>
          </w:p>
          <w:p w14:paraId="2CAC478D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FF8C00"/>
                <w:sz w:val="19"/>
              </w:rPr>
              <w:t>⚠  Prescribing romosozumab in patients with prior MI or stroke — absolutely contraindicated</w:t>
            </w:r>
          </w:p>
        </w:tc>
      </w:tr>
    </w:tbl>
    <w:p w14:paraId="3BB4A3E0" w14:textId="77777777" w:rsidR="00761796" w:rsidRDefault="00761796"/>
    <w:p w14:paraId="1BFFAB22" w14:textId="77777777" w:rsidR="00761796" w:rsidRDefault="00761796"/>
    <w:tbl>
      <w:tblPr>
        <w:tblW w:w="9360" w:type="dxa"/>
        <w:tblLook w:val="04A0" w:firstRow="1" w:lastRow="0" w:firstColumn="1" w:lastColumn="0" w:noHBand="0" w:noVBand="1"/>
      </w:tblPr>
      <w:tblGrid>
        <w:gridCol w:w="9360"/>
      </w:tblGrid>
      <w:tr w:rsidR="00761796" w14:paraId="756FFB82" w14:textId="77777777">
        <w:tc>
          <w:tcPr>
            <w:tcW w:w="9638" w:type="dxa"/>
            <w:shd w:val="clear" w:color="auto" w:fill="FCE4E4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3A54FA43" w14:textId="77777777" w:rsidR="00761796" w:rsidRDefault="00000000">
            <w:pPr>
              <w:spacing w:after="30"/>
            </w:pPr>
            <w:r>
              <w:rPr>
                <w:rFonts w:ascii="Calibri" w:hAnsi="Calibri"/>
                <w:b/>
                <w:color w:val="C00000"/>
                <w:sz w:val="19"/>
              </w:rPr>
              <w:t>Disclaimer</w:t>
            </w:r>
          </w:p>
          <w:p w14:paraId="6911BE0B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C00000"/>
                <w:sz w:val="21"/>
              </w:rPr>
              <w:t>⚠  Always double check this advice and drug doses with the latest NICE/BNF guidance.</w:t>
            </w:r>
          </w:p>
          <w:p w14:paraId="68B4A6CD" w14:textId="77777777" w:rsidR="00761796" w:rsidRDefault="00000000">
            <w:pPr>
              <w:spacing w:after="20"/>
            </w:pPr>
            <w:r>
              <w:rPr>
                <w:rFonts w:ascii="Calibri" w:hAnsi="Calibri"/>
                <w:color w:val="C00000"/>
                <w:sz w:val="21"/>
              </w:rPr>
              <w:t>This document is for educational purposes only.</w:t>
            </w:r>
          </w:p>
        </w:tc>
      </w:tr>
    </w:tbl>
    <w:p w14:paraId="64109FCA" w14:textId="77777777" w:rsidR="00761796" w:rsidRDefault="00761796"/>
    <w:sectPr w:rsidR="00761796" w:rsidSect="00034616">
      <w:footerReference w:type="default" r:id="rId9"/>
      <w:pgSz w:w="11906" w:h="16838"/>
      <w:pgMar w:top="1020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390255" w14:textId="77777777" w:rsidR="00304042" w:rsidRDefault="00304042">
      <w:pPr>
        <w:spacing w:after="0" w:line="240" w:lineRule="auto"/>
      </w:pPr>
      <w:r>
        <w:separator/>
      </w:r>
    </w:p>
  </w:endnote>
  <w:endnote w:type="continuationSeparator" w:id="0">
    <w:p w14:paraId="0BC67697" w14:textId="77777777" w:rsidR="00304042" w:rsidRDefault="003040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EF0E07" w14:textId="77777777" w:rsidR="00761796" w:rsidRDefault="00000000">
    <w:pPr>
      <w:pStyle w:val="Footer"/>
      <w:pBdr>
        <w:top w:val="single" w:sz="4" w:space="0" w:color="E0651F"/>
      </w:pBdr>
      <w:jc w:val="center"/>
    </w:pPr>
    <w:r>
      <w:rPr>
        <w:rFonts w:ascii="Calibri" w:hAnsi="Calibri"/>
        <w:color w:val="707070"/>
        <w:sz w:val="16"/>
      </w:rPr>
      <w:t>A free resource provided by www.bradfordvts.co.uk, Dr Ramesh Mehay, revised June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583C4E" w14:textId="77777777" w:rsidR="00304042" w:rsidRDefault="00304042">
      <w:pPr>
        <w:spacing w:after="0" w:line="240" w:lineRule="auto"/>
      </w:pPr>
      <w:r>
        <w:separator/>
      </w:r>
    </w:p>
  </w:footnote>
  <w:footnote w:type="continuationSeparator" w:id="0">
    <w:p w14:paraId="5FB32F7F" w14:textId="77777777" w:rsidR="00304042" w:rsidRDefault="003040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50440016">
    <w:abstractNumId w:val="8"/>
  </w:num>
  <w:num w:numId="2" w16cid:durableId="1275212886">
    <w:abstractNumId w:val="6"/>
  </w:num>
  <w:num w:numId="3" w16cid:durableId="2109304322">
    <w:abstractNumId w:val="5"/>
  </w:num>
  <w:num w:numId="4" w16cid:durableId="1795908655">
    <w:abstractNumId w:val="4"/>
  </w:num>
  <w:num w:numId="5" w16cid:durableId="1846280575">
    <w:abstractNumId w:val="7"/>
  </w:num>
  <w:num w:numId="6" w16cid:durableId="523590877">
    <w:abstractNumId w:val="3"/>
  </w:num>
  <w:num w:numId="7" w16cid:durableId="311913688">
    <w:abstractNumId w:val="2"/>
  </w:num>
  <w:num w:numId="8" w16cid:durableId="1024093224">
    <w:abstractNumId w:val="1"/>
  </w:num>
  <w:num w:numId="9" w16cid:durableId="12931726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04042"/>
    <w:rsid w:val="00326F90"/>
    <w:rsid w:val="00592453"/>
    <w:rsid w:val="00761796"/>
    <w:rsid w:val="00AA1D8D"/>
    <w:rsid w:val="00B47730"/>
    <w:rsid w:val="00CB0664"/>
    <w:rsid w:val="00D2095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2F4F2A0"/>
  <w14:defaultImageDpi w14:val="300"/>
  <w15:docId w15:val="{9358C85F-DC23-4EA4-8B78-B2EF40667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1996</Words>
  <Characters>11379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13349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Ramesh Mehay</cp:lastModifiedBy>
  <cp:revision>2</cp:revision>
  <dcterms:created xsi:type="dcterms:W3CDTF">2013-12-23T23:15:00Z</dcterms:created>
  <dcterms:modified xsi:type="dcterms:W3CDTF">2026-06-28T19:20:00Z</dcterms:modified>
  <cp:category/>
</cp:coreProperties>
</file>