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9464"/>
      </w:tblGrid>
      <w:tr w:rsidR="009B1C64" w14:paraId="37382C9D" w14:textId="77777777" w:rsidTr="002912D2">
        <w:tc>
          <w:tcPr>
            <w:tcW w:w="9464" w:type="dxa"/>
            <w:shd w:val="clear" w:color="auto" w:fill="E0651F"/>
          </w:tcPr>
          <w:p w14:paraId="2097CBBC" w14:textId="77777777" w:rsidR="009B1C64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b/>
                <w:color w:val="FFFFFF"/>
              </w:rPr>
              <w:t>BRADFORD VTS TEACHING AIDS</w:t>
            </w:r>
          </w:p>
          <w:p w14:paraId="7A6FA42A" w14:textId="77777777" w:rsidR="009B1C64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b/>
                <w:color w:val="FFFFFF"/>
                <w:sz w:val="56"/>
              </w:rPr>
              <w:t>Rheumatology — When to Refer</w:t>
            </w:r>
          </w:p>
          <w:p w14:paraId="27F9DA4B" w14:textId="77777777" w:rsidR="009B1C64" w:rsidRDefault="00000000">
            <w:pPr>
              <w:spacing w:before="80" w:after="80"/>
              <w:jc w:val="center"/>
            </w:pPr>
            <w:r>
              <w:rPr>
                <w:rFonts w:ascii="Calibri" w:hAnsi="Calibri"/>
                <w:i/>
                <w:color w:val="FFFFFF"/>
                <w:sz w:val="24"/>
              </w:rPr>
              <w:t>A Quick Reference Guide · Bradford VTS · June 2026</w:t>
            </w:r>
          </w:p>
        </w:tc>
      </w:tr>
    </w:tbl>
    <w:p w14:paraId="011453D0" w14:textId="77777777" w:rsidR="009B1C64" w:rsidRDefault="009B1C64"/>
    <w:p w14:paraId="03DFFEB3" w14:textId="77777777" w:rsidR="009B1C64" w:rsidRDefault="00000000">
      <w:pPr>
        <w:spacing w:after="80"/>
      </w:pPr>
      <w:r>
        <w:rPr>
          <w:rFonts w:ascii="Calibri" w:hAnsi="Calibri"/>
          <w:sz w:val="21"/>
        </w:rPr>
        <w:t>This guide helps GPs decide when and how to refer to the Rheumatology Department. Providing the right information with your referral allows effective triage and timely management.</w:t>
      </w:r>
    </w:p>
    <w:p w14:paraId="433ACBFB" w14:textId="77777777" w:rsidR="009B1C64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t>🚨 Urgent Referrals — Contact Rheumatology / Admit Same Day</w:t>
      </w:r>
    </w:p>
    <w:p w14:paraId="41B02EF0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septic arthritis </w:t>
      </w:r>
      <w:r>
        <w:rPr>
          <w:rFonts w:ascii="Calibri" w:hAnsi="Calibri"/>
          <w:sz w:val="21"/>
        </w:rPr>
        <w:t>Hot, swollen, painful single joint + systemic features → same-day A&amp;E or urgent rheumatology phone call.</w:t>
      </w:r>
    </w:p>
    <w:p w14:paraId="1F05841B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Giant Cell Arteritis (GCA) with visual symptoms </w:t>
      </w:r>
      <w:r>
        <w:rPr>
          <w:rFonts w:ascii="Calibri" w:hAnsi="Calibri"/>
          <w:sz w:val="21"/>
        </w:rPr>
        <w:t>Any amaurosis fugax, visual loss, or diplopia → same-day ophthalmology + rheumatology admission. Start prednisolone IMMEDIATELY — do not wait.</w:t>
      </w:r>
    </w:p>
    <w:p w14:paraId="31A9CE42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ANCA vasculitis </w:t>
      </w:r>
      <w:r>
        <w:rPr>
          <w:rFonts w:ascii="Calibri" w:hAnsi="Calibri"/>
          <w:sz w:val="21"/>
        </w:rPr>
        <w:t>Haematuria + haemoptysis ± sinusitis → ANCA screen + urgent referral.</w:t>
      </w:r>
    </w:p>
    <w:p w14:paraId="5A5A9AA2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New onset inflammatory arthritis (very high clinical concern) </w:t>
      </w:r>
      <w:r>
        <w:rPr>
          <w:rFonts w:ascii="Calibri" w:hAnsi="Calibri"/>
          <w:sz w:val="21"/>
        </w:rPr>
        <w:t>Refer within 3 working days (NICE NG100). Phone the department if needed.</w:t>
      </w:r>
    </w:p>
    <w:p w14:paraId="60EB1ED4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organ-threatening connective tissue disease </w:t>
      </w:r>
      <w:r>
        <w:rPr>
          <w:rFonts w:ascii="Calibri" w:hAnsi="Calibri"/>
          <w:sz w:val="21"/>
        </w:rPr>
        <w:t>Renal involvement (SLE/vasculitis), severe pulmonary disease, pericarditis.</w:t>
      </w:r>
    </w:p>
    <w:p w14:paraId="2AD0E923" w14:textId="288EC317" w:rsidR="009B1C64" w:rsidRDefault="00000000" w:rsidP="002912D2">
      <w:pPr>
        <w:pStyle w:val="ListBullet"/>
      </w:pPr>
      <w:r>
        <w:rPr>
          <w:rFonts w:ascii="Calibri" w:hAnsi="Calibri"/>
          <w:b/>
          <w:sz w:val="21"/>
        </w:rPr>
        <w:t xml:space="preserve">Back pain with neurological red flags </w:t>
      </w:r>
      <w:r>
        <w:rPr>
          <w:rFonts w:ascii="Calibri" w:hAnsi="Calibri"/>
          <w:sz w:val="21"/>
        </w:rPr>
        <w:t>Cauda equina: saddle anaesthesia, bladder/bowel dysfunction → SAME DAY A&amp;E.</w:t>
      </w:r>
    </w:p>
    <w:p w14:paraId="2B8CA1E8" w14:textId="77777777" w:rsidR="009B1C64" w:rsidRDefault="00000000">
      <w:pPr>
        <w:spacing w:before="200" w:after="80"/>
      </w:pPr>
      <w:r>
        <w:rPr>
          <w:rFonts w:ascii="Segoe UI Emoji" w:hAnsi="Segoe UI Emoji" w:cs="Segoe UI Emoji"/>
          <w:b/>
          <w:color w:val="16213E"/>
          <w:sz w:val="28"/>
        </w:rPr>
        <w:t>⚡</w:t>
      </w:r>
      <w:r>
        <w:rPr>
          <w:rFonts w:ascii="Calibri" w:hAnsi="Calibri"/>
          <w:b/>
          <w:color w:val="16213E"/>
          <w:sz w:val="28"/>
        </w:rPr>
        <w:t xml:space="preserve"> Semi-Urgent Referrals (Within Weeks)</w:t>
      </w:r>
    </w:p>
    <w:p w14:paraId="4D2C11FB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Early inflammatory arthritis (within 12 weeks of symptom onset) </w:t>
      </w:r>
      <w:r>
        <w:rPr>
          <w:rFonts w:ascii="Calibri" w:hAnsi="Calibri"/>
          <w:sz w:val="21"/>
        </w:rPr>
        <w:t>→ Early Arthritis Clinic. Use "Early Arthritis" referral form. Do not wait for blood test confirmation — RF/anti-CCP can be negative in early disease.</w:t>
      </w:r>
    </w:p>
    <w:p w14:paraId="2EBA95B6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SLE or systemic connective tissue disease </w:t>
      </w:r>
      <w:r>
        <w:rPr>
          <w:rFonts w:ascii="Calibri" w:hAnsi="Calibri"/>
          <w:sz w:val="21"/>
        </w:rPr>
        <w:t>→ Young woman with multi-system symptoms, malar rash, proteinuria, ANA positive.</w:t>
      </w:r>
    </w:p>
    <w:p w14:paraId="470E448D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GCA without visual symptoms </w:t>
      </w:r>
      <w:r>
        <w:rPr>
          <w:rFonts w:ascii="Calibri" w:hAnsi="Calibri"/>
          <w:sz w:val="21"/>
        </w:rPr>
        <w:t>→ Start prednisolone 40–60mg/day + refer urgently (days, not weeks).</w:t>
      </w:r>
    </w:p>
    <w:p w14:paraId="12F948FE" w14:textId="4ECE4831" w:rsidR="009B1C64" w:rsidRDefault="00000000" w:rsidP="002912D2">
      <w:pPr>
        <w:pStyle w:val="ListBullet"/>
      </w:pPr>
      <w:r>
        <w:rPr>
          <w:rFonts w:ascii="Calibri" w:hAnsi="Calibri"/>
          <w:b/>
          <w:sz w:val="21"/>
        </w:rPr>
        <w:t xml:space="preserve">Suspected new diagnosis of Psoriatic Arthritis / Ankylosing Spondylitis </w:t>
      </w:r>
      <w:r>
        <w:rPr>
          <w:rFonts w:ascii="Calibri" w:hAnsi="Calibri"/>
          <w:sz w:val="21"/>
        </w:rPr>
        <w:t>→ Refer for formal diagnosis, disease activity assessment, and DMARD initiation.</w:t>
      </w:r>
    </w:p>
    <w:p w14:paraId="0071F21F" w14:textId="77777777" w:rsidR="009B1C64" w:rsidRDefault="00000000">
      <w:pPr>
        <w:spacing w:before="200" w:after="80"/>
      </w:pPr>
      <w:r>
        <w:rPr>
          <w:rFonts w:ascii="Segoe UI Emoji" w:hAnsi="Segoe UI Emoji" w:cs="Segoe UI Emoji"/>
          <w:b/>
          <w:color w:val="0F3D5E"/>
          <w:sz w:val="28"/>
        </w:rPr>
        <w:t>📋</w:t>
      </w:r>
      <w:r>
        <w:rPr>
          <w:rFonts w:ascii="Calibri" w:hAnsi="Calibri"/>
          <w:b/>
          <w:color w:val="0F3D5E"/>
          <w:sz w:val="28"/>
        </w:rPr>
        <w:t xml:space="preserve"> Routine Referrals</w:t>
      </w:r>
    </w:p>
    <w:p w14:paraId="2E624B6E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Established RA — loss of disease control </w:t>
      </w:r>
      <w:r>
        <w:rPr>
          <w:rFonts w:ascii="Calibri" w:hAnsi="Calibri"/>
          <w:sz w:val="21"/>
        </w:rPr>
        <w:t>Escalating DMARDs or biologic consideration.</w:t>
      </w:r>
    </w:p>
    <w:p w14:paraId="0BF48F56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PMR after 2 years of steroids </w:t>
      </w:r>
      <w:r>
        <w:rPr>
          <w:rFonts w:ascii="Calibri" w:hAnsi="Calibri"/>
          <w:sz w:val="21"/>
        </w:rPr>
        <w:t>Steroid-sparing agent (methotrexate) consideration.</w:t>
      </w:r>
    </w:p>
    <w:p w14:paraId="402B8316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Refractory or complicated gout </w:t>
      </w:r>
      <w:r>
        <w:rPr>
          <w:rFonts w:ascii="Calibri" w:hAnsi="Calibri"/>
          <w:sz w:val="21"/>
        </w:rPr>
        <w:t>Allopurinol at maximum tolerated dose, target not achieved.</w:t>
      </w:r>
    </w:p>
    <w:p w14:paraId="6050C4F6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Complex soft tissue conditions not responding </w:t>
      </w:r>
      <w:r>
        <w:rPr>
          <w:rFonts w:ascii="Calibri" w:hAnsi="Calibri"/>
          <w:sz w:val="21"/>
        </w:rPr>
        <w:t>Frozen shoulder, chronic tendinopathy, difficult to diagnose.</w:t>
      </w:r>
    </w:p>
    <w:p w14:paraId="15A0EAFC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systemic vasculitis (non-urgent) </w:t>
      </w:r>
      <w:r>
        <w:rPr>
          <w:rFonts w:ascii="Calibri" w:hAnsi="Calibri"/>
          <w:sz w:val="21"/>
        </w:rPr>
        <w:t>ANCA-associated conditions without organ threat.</w:t>
      </w:r>
    </w:p>
    <w:p w14:paraId="59638250" w14:textId="77777777" w:rsidR="009B1C64" w:rsidRDefault="009B1C64"/>
    <w:p w14:paraId="598B1CD0" w14:textId="77777777" w:rsidR="009B1C64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lastRenderedPageBreak/>
        <w:t>📝 What to Include in ALL Rheumatology Referral Letters</w:t>
      </w:r>
    </w:p>
    <w:p w14:paraId="48DD4B07" w14:textId="77777777" w:rsidR="009B1C64" w:rsidRDefault="00000000">
      <w:pPr>
        <w:spacing w:after="80"/>
      </w:pPr>
      <w:r>
        <w:rPr>
          <w:rFonts w:ascii="Calibri" w:hAnsi="Calibri"/>
          <w:sz w:val="21"/>
        </w:rPr>
        <w:t>The following information is required for every referral to allow effective triage: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03"/>
        <w:gridCol w:w="4703"/>
      </w:tblGrid>
      <w:tr w:rsidR="009B1C64" w14:paraId="04EFD009" w14:textId="77777777">
        <w:trPr>
          <w:jc w:val="center"/>
        </w:trPr>
        <w:tc>
          <w:tcPr>
            <w:tcW w:w="4703" w:type="dxa"/>
            <w:shd w:val="clear" w:color="auto" w:fill="16213E"/>
          </w:tcPr>
          <w:p w14:paraId="6C9421DC" w14:textId="77777777" w:rsidR="009B1C64" w:rsidRDefault="00000000">
            <w:r>
              <w:rPr>
                <w:rFonts w:ascii="Calibri" w:hAnsi="Calibri"/>
                <w:b/>
                <w:color w:val="FFFFFF"/>
                <w:sz w:val="20"/>
              </w:rPr>
              <w:t>Category</w:t>
            </w:r>
          </w:p>
        </w:tc>
        <w:tc>
          <w:tcPr>
            <w:tcW w:w="4703" w:type="dxa"/>
            <w:shd w:val="clear" w:color="auto" w:fill="16213E"/>
          </w:tcPr>
          <w:p w14:paraId="09E3D85B" w14:textId="77777777" w:rsidR="009B1C64" w:rsidRDefault="00000000">
            <w:r>
              <w:rPr>
                <w:rFonts w:ascii="Calibri" w:hAnsi="Calibri"/>
                <w:b/>
                <w:color w:val="FFFFFF"/>
                <w:sz w:val="20"/>
              </w:rPr>
              <w:t>Required Information</w:t>
            </w:r>
          </w:p>
        </w:tc>
      </w:tr>
      <w:tr w:rsidR="009B1C64" w14:paraId="31189068" w14:textId="77777777">
        <w:trPr>
          <w:jc w:val="center"/>
        </w:trPr>
        <w:tc>
          <w:tcPr>
            <w:tcW w:w="4703" w:type="dxa"/>
          </w:tcPr>
          <w:p w14:paraId="7F0CACDA" w14:textId="77777777" w:rsidR="009B1C64" w:rsidRDefault="00000000">
            <w:r>
              <w:rPr>
                <w:rFonts w:ascii="Calibri" w:hAnsi="Calibri"/>
                <w:sz w:val="19"/>
              </w:rPr>
              <w:t>Symptoms</w:t>
            </w:r>
          </w:p>
        </w:tc>
        <w:tc>
          <w:tcPr>
            <w:tcW w:w="4703" w:type="dxa"/>
          </w:tcPr>
          <w:p w14:paraId="24502141" w14:textId="77777777" w:rsidR="009B1C64" w:rsidRDefault="00000000">
            <w:r>
              <w:rPr>
                <w:rFonts w:ascii="Calibri" w:hAnsi="Calibri"/>
                <w:sz w:val="19"/>
              </w:rPr>
              <w:t>Distribution and duration of pain/stiffness; bilateral/symmetrical; morning stiffness duration</w:t>
            </w:r>
          </w:p>
        </w:tc>
      </w:tr>
      <w:tr w:rsidR="009B1C64" w14:paraId="1925D6EB" w14:textId="77777777">
        <w:trPr>
          <w:jc w:val="center"/>
        </w:trPr>
        <w:tc>
          <w:tcPr>
            <w:tcW w:w="4703" w:type="dxa"/>
          </w:tcPr>
          <w:p w14:paraId="1668BECD" w14:textId="77777777" w:rsidR="009B1C64" w:rsidRDefault="00000000">
            <w:r>
              <w:rPr>
                <w:rFonts w:ascii="Calibri" w:hAnsi="Calibri"/>
                <w:sz w:val="19"/>
              </w:rPr>
              <w:t>Examination</w:t>
            </w:r>
          </w:p>
        </w:tc>
        <w:tc>
          <w:tcPr>
            <w:tcW w:w="4703" w:type="dxa"/>
          </w:tcPr>
          <w:p w14:paraId="4B6C69DB" w14:textId="77777777" w:rsidR="009B1C64" w:rsidRDefault="00000000">
            <w:r>
              <w:rPr>
                <w:rFonts w:ascii="Calibri" w:hAnsi="Calibri"/>
                <w:sz w:val="19"/>
              </w:rPr>
              <w:t>Findings — joint swelling? Range of movement? Systemic features?</w:t>
            </w:r>
          </w:p>
        </w:tc>
      </w:tr>
      <w:tr w:rsidR="009B1C64" w14:paraId="09BB3F3D" w14:textId="77777777">
        <w:trPr>
          <w:jc w:val="center"/>
        </w:trPr>
        <w:tc>
          <w:tcPr>
            <w:tcW w:w="4703" w:type="dxa"/>
          </w:tcPr>
          <w:p w14:paraId="5BB2BF79" w14:textId="77777777" w:rsidR="009B1C64" w:rsidRDefault="00000000">
            <w:r>
              <w:rPr>
                <w:rFonts w:ascii="Calibri" w:hAnsi="Calibri"/>
                <w:sz w:val="19"/>
              </w:rPr>
              <w:t>Working diagnosis</w:t>
            </w:r>
          </w:p>
        </w:tc>
        <w:tc>
          <w:tcPr>
            <w:tcW w:w="4703" w:type="dxa"/>
          </w:tcPr>
          <w:p w14:paraId="73687772" w14:textId="77777777" w:rsidR="009B1C64" w:rsidRDefault="00000000">
            <w:r>
              <w:rPr>
                <w:rFonts w:ascii="Calibri" w:hAnsi="Calibri"/>
                <w:sz w:val="19"/>
              </w:rPr>
              <w:t>Current clinical concern or differential diagnosis</w:t>
            </w:r>
          </w:p>
        </w:tc>
      </w:tr>
      <w:tr w:rsidR="009B1C64" w14:paraId="2928F9B0" w14:textId="77777777">
        <w:trPr>
          <w:jc w:val="center"/>
        </w:trPr>
        <w:tc>
          <w:tcPr>
            <w:tcW w:w="4703" w:type="dxa"/>
          </w:tcPr>
          <w:p w14:paraId="6F75AD25" w14:textId="77777777" w:rsidR="009B1C64" w:rsidRDefault="00000000">
            <w:r>
              <w:rPr>
                <w:rFonts w:ascii="Calibri" w:hAnsi="Calibri"/>
                <w:sz w:val="19"/>
              </w:rPr>
              <w:t>Management to date</w:t>
            </w:r>
          </w:p>
        </w:tc>
        <w:tc>
          <w:tcPr>
            <w:tcW w:w="4703" w:type="dxa"/>
          </w:tcPr>
          <w:p w14:paraId="1080682B" w14:textId="77777777" w:rsidR="009B1C64" w:rsidRDefault="00000000">
            <w:r>
              <w:rPr>
                <w:rFonts w:ascii="Calibri" w:hAnsi="Calibri"/>
                <w:sz w:val="19"/>
              </w:rPr>
              <w:t>Medications tried (with doses and duration) and response</w:t>
            </w:r>
          </w:p>
        </w:tc>
      </w:tr>
      <w:tr w:rsidR="009B1C64" w14:paraId="5EE50727" w14:textId="77777777">
        <w:trPr>
          <w:jc w:val="center"/>
        </w:trPr>
        <w:tc>
          <w:tcPr>
            <w:tcW w:w="4703" w:type="dxa"/>
          </w:tcPr>
          <w:p w14:paraId="23FF9407" w14:textId="77777777" w:rsidR="009B1C64" w:rsidRDefault="00000000">
            <w:r>
              <w:rPr>
                <w:rFonts w:ascii="Calibri" w:hAnsi="Calibri"/>
                <w:sz w:val="19"/>
              </w:rPr>
              <w:t>Past medical history</w:t>
            </w:r>
          </w:p>
        </w:tc>
        <w:tc>
          <w:tcPr>
            <w:tcW w:w="4703" w:type="dxa"/>
          </w:tcPr>
          <w:p w14:paraId="1EDEA823" w14:textId="77777777" w:rsidR="009B1C64" w:rsidRDefault="00000000">
            <w:r>
              <w:rPr>
                <w:rFonts w:ascii="Calibri" w:hAnsi="Calibri"/>
                <w:sz w:val="19"/>
              </w:rPr>
              <w:t>Relevant conditions, previous rheumatological history</w:t>
            </w:r>
          </w:p>
        </w:tc>
      </w:tr>
      <w:tr w:rsidR="009B1C64" w14:paraId="511199A3" w14:textId="77777777">
        <w:trPr>
          <w:jc w:val="center"/>
        </w:trPr>
        <w:tc>
          <w:tcPr>
            <w:tcW w:w="4703" w:type="dxa"/>
          </w:tcPr>
          <w:p w14:paraId="1350451A" w14:textId="77777777" w:rsidR="009B1C64" w:rsidRDefault="00000000">
            <w:r>
              <w:rPr>
                <w:rFonts w:ascii="Calibri" w:hAnsi="Calibri"/>
                <w:sz w:val="19"/>
              </w:rPr>
              <w:t>Current medications</w:t>
            </w:r>
          </w:p>
        </w:tc>
        <w:tc>
          <w:tcPr>
            <w:tcW w:w="4703" w:type="dxa"/>
          </w:tcPr>
          <w:p w14:paraId="0977B96F" w14:textId="77777777" w:rsidR="009B1C64" w:rsidRDefault="00000000">
            <w:r>
              <w:rPr>
                <w:rFonts w:ascii="Calibri" w:hAnsi="Calibri"/>
                <w:sz w:val="19"/>
              </w:rPr>
              <w:t>All current drugs and doses — especially immunosuppressants</w:t>
            </w:r>
          </w:p>
        </w:tc>
      </w:tr>
      <w:tr w:rsidR="009B1C64" w14:paraId="2FF221C1" w14:textId="77777777">
        <w:trPr>
          <w:jc w:val="center"/>
        </w:trPr>
        <w:tc>
          <w:tcPr>
            <w:tcW w:w="4703" w:type="dxa"/>
          </w:tcPr>
          <w:p w14:paraId="2B3FD28A" w14:textId="77777777" w:rsidR="009B1C64" w:rsidRDefault="00000000">
            <w:r>
              <w:rPr>
                <w:rFonts w:ascii="Calibri" w:hAnsi="Calibri"/>
                <w:sz w:val="19"/>
              </w:rPr>
              <w:t>Investigations</w:t>
            </w:r>
          </w:p>
        </w:tc>
        <w:tc>
          <w:tcPr>
            <w:tcW w:w="4703" w:type="dxa"/>
          </w:tcPr>
          <w:p w14:paraId="4A7CC72F" w14:textId="77777777" w:rsidR="009B1C64" w:rsidRDefault="00000000">
            <w:r>
              <w:rPr>
                <w:rFonts w:ascii="Calibri" w:hAnsi="Calibri"/>
                <w:sz w:val="19"/>
              </w:rPr>
              <w:t>Results attached or available: FBC, U&amp;E, LFT, ESR, CRP, RF, anti-CCP, ANA, uric acid</w:t>
            </w:r>
          </w:p>
        </w:tc>
      </w:tr>
      <w:tr w:rsidR="009B1C64" w14:paraId="01DDC4DA" w14:textId="77777777">
        <w:trPr>
          <w:jc w:val="center"/>
        </w:trPr>
        <w:tc>
          <w:tcPr>
            <w:tcW w:w="4703" w:type="dxa"/>
          </w:tcPr>
          <w:p w14:paraId="7705AE1F" w14:textId="77777777" w:rsidR="009B1C64" w:rsidRDefault="00000000">
            <w:r>
              <w:rPr>
                <w:rFonts w:ascii="Calibri" w:hAnsi="Calibri"/>
                <w:sz w:val="19"/>
              </w:rPr>
              <w:t>Imaging</w:t>
            </w:r>
          </w:p>
        </w:tc>
        <w:tc>
          <w:tcPr>
            <w:tcW w:w="4703" w:type="dxa"/>
          </w:tcPr>
          <w:p w14:paraId="2FF5C044" w14:textId="77777777" w:rsidR="009B1C64" w:rsidRDefault="00000000">
            <w:r>
              <w:rPr>
                <w:rFonts w:ascii="Calibri" w:hAnsi="Calibri"/>
                <w:sz w:val="19"/>
              </w:rPr>
              <w:t>X-rays — enclose reports. Mention normal X-rays too.</w:t>
            </w:r>
          </w:p>
        </w:tc>
      </w:tr>
    </w:tbl>
    <w:p w14:paraId="33D591FF" w14:textId="77777777" w:rsidR="009B1C64" w:rsidRDefault="009B1C64"/>
    <w:p w14:paraId="234EC353" w14:textId="77777777" w:rsidR="009B1C64" w:rsidRDefault="00000000">
      <w:pPr>
        <w:spacing w:before="200" w:after="80"/>
      </w:pPr>
      <w:r>
        <w:rPr>
          <w:rFonts w:ascii="Calibri" w:hAnsi="Calibri"/>
          <w:b/>
          <w:color w:val="1A1A2E"/>
          <w:sz w:val="28"/>
        </w:rPr>
        <w:t>🔬 Investigation Checklist by Suspected Diagnosis</w:t>
      </w:r>
    </w:p>
    <w:p w14:paraId="1FA80FE9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All patients (baseline) </w:t>
      </w:r>
      <w:r>
        <w:rPr>
          <w:rFonts w:ascii="Calibri" w:hAnsi="Calibri"/>
          <w:sz w:val="21"/>
        </w:rPr>
        <w:t>FBC, U&amp;E, LFT, CRP, ESR, TFT, uric acid, calcium</w:t>
      </w:r>
    </w:p>
    <w:p w14:paraId="0D771F6F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inflammatory arthritis </w:t>
      </w:r>
      <w:r>
        <w:rPr>
          <w:rFonts w:ascii="Calibri" w:hAnsi="Calibri"/>
          <w:sz w:val="21"/>
        </w:rPr>
        <w:t>RF, anti-CCP (if RF negative), ANA</w:t>
      </w:r>
    </w:p>
    <w:p w14:paraId="2DFDAB3C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connective tissue disease </w:t>
      </w:r>
      <w:r>
        <w:rPr>
          <w:rFonts w:ascii="Calibri" w:hAnsi="Calibri"/>
          <w:sz w:val="21"/>
        </w:rPr>
        <w:t>RF, ANA, anti-dsDNA, ENA (Ro/La/Scl-70/Jo-1), complement, immunoglobulins</w:t>
      </w:r>
    </w:p>
    <w:p w14:paraId="779EE254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vasculitis </w:t>
      </w:r>
      <w:r>
        <w:rPr>
          <w:rFonts w:ascii="Calibri" w:hAnsi="Calibri"/>
          <w:sz w:val="21"/>
        </w:rPr>
        <w:t>ANCA (cANCA/pANCA), RF, ANA, anti-dsDNA, urine dipstick for haematuria/proteinuria</w:t>
      </w:r>
    </w:p>
    <w:p w14:paraId="255D9FF0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osteoporosis </w:t>
      </w:r>
      <w:r>
        <w:rPr>
          <w:rFonts w:ascii="Calibri" w:hAnsi="Calibri"/>
          <w:sz w:val="21"/>
        </w:rPr>
        <w:t>FBC, U&amp;E, LFT, CRP, ESR, TFT, coeliac screen, testosterone (men), Ca, 25-OH Vitamin D</w:t>
      </w:r>
    </w:p>
    <w:p w14:paraId="13CD7190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Suspected gout </w:t>
      </w:r>
      <w:r>
        <w:rPr>
          <w:rFonts w:ascii="Calibri" w:hAnsi="Calibri"/>
          <w:sz w:val="21"/>
        </w:rPr>
        <w:t>Uric acid (check ≥4–6 weeks after acute attack), U&amp;E, creatinine</w:t>
      </w:r>
    </w:p>
    <w:p w14:paraId="4B8A5DB4" w14:textId="77777777" w:rsidR="009B1C64" w:rsidRDefault="00000000">
      <w:pPr>
        <w:pStyle w:val="ListBullet"/>
      </w:pPr>
      <w:r>
        <w:rPr>
          <w:rFonts w:ascii="Calibri" w:hAnsi="Calibri"/>
          <w:b/>
          <w:sz w:val="21"/>
        </w:rPr>
        <w:t xml:space="preserve">New onset polyarthritis </w:t>
      </w:r>
      <w:r>
        <w:rPr>
          <w:rFonts w:ascii="Calibri" w:hAnsi="Calibri"/>
          <w:sz w:val="21"/>
        </w:rPr>
        <w:t>CXR, X-rays hands and feet (enclose report with referral)</w:t>
      </w:r>
    </w:p>
    <w:p w14:paraId="1639ABAB" w14:textId="77777777" w:rsidR="009B1C64" w:rsidRDefault="009B1C64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9B1C64" w14:paraId="4515FBAD" w14:textId="77777777">
        <w:tc>
          <w:tcPr>
            <w:tcW w:w="9406" w:type="dxa"/>
            <w:shd w:val="clear" w:color="auto" w:fill="E8F4FD"/>
          </w:tcPr>
          <w:p w14:paraId="3D7B7A77" w14:textId="77777777" w:rsidR="009B1C64" w:rsidRDefault="00000000">
            <w:pPr>
              <w:spacing w:before="80" w:after="80"/>
            </w:pPr>
            <w:r>
              <w:rPr>
                <w:rFonts w:ascii="Calibri" w:hAnsi="Calibri"/>
                <w:sz w:val="20"/>
              </w:rPr>
              <w:t>💡 TOP TIP: If in doubt, refer. Early referral in inflammatory arthritis is better than watchful waiting. Most rheumatology departments have a nurse specialist helpline for advice — use it.</w:t>
            </w:r>
          </w:p>
        </w:tc>
      </w:tr>
    </w:tbl>
    <w:p w14:paraId="7585E5E0" w14:textId="77777777" w:rsidR="009B1C64" w:rsidRDefault="009B1C64"/>
    <w:tbl>
      <w:tblPr>
        <w:tblW w:w="0" w:type="auto"/>
        <w:tblLook w:val="04A0" w:firstRow="1" w:lastRow="0" w:firstColumn="1" w:lastColumn="0" w:noHBand="0" w:noVBand="1"/>
      </w:tblPr>
      <w:tblGrid>
        <w:gridCol w:w="9406"/>
      </w:tblGrid>
      <w:tr w:rsidR="009B1C64" w14:paraId="5FBFB9C5" w14:textId="77777777">
        <w:tc>
          <w:tcPr>
            <w:tcW w:w="9406" w:type="dxa"/>
            <w:shd w:val="clear" w:color="auto" w:fill="FFF3CD"/>
          </w:tcPr>
          <w:p w14:paraId="2CD0C26E" w14:textId="77777777" w:rsidR="009B1C64" w:rsidRDefault="00000000">
            <w:pPr>
              <w:spacing w:before="80" w:after="80"/>
            </w:pPr>
            <w:r>
              <w:rPr>
                <w:rFonts w:ascii="Calibri" w:hAnsi="Calibri"/>
                <w:sz w:val="20"/>
              </w:rPr>
              <w:t>⚠  Always double check this advice and drug doses with the latest NICE/BNF guidance. This document is for educational purposes only.</w:t>
            </w:r>
          </w:p>
        </w:tc>
      </w:tr>
    </w:tbl>
    <w:p w14:paraId="5946A32A" w14:textId="77777777" w:rsidR="009B1C64" w:rsidRDefault="009B1C64"/>
    <w:sectPr w:rsidR="009B1C64" w:rsidSect="00034616">
      <w:footerReference w:type="default" r:id="rId8"/>
      <w:pgSz w:w="12240" w:h="15840"/>
      <w:pgMar w:top="1134" w:right="1417" w:bottom="1134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676FA" w14:textId="77777777" w:rsidR="00FF59EE" w:rsidRDefault="00FF59EE">
      <w:pPr>
        <w:spacing w:after="0" w:line="240" w:lineRule="auto"/>
      </w:pPr>
      <w:r>
        <w:separator/>
      </w:r>
    </w:p>
  </w:endnote>
  <w:endnote w:type="continuationSeparator" w:id="0">
    <w:p w14:paraId="48BF8C44" w14:textId="77777777" w:rsidR="00FF59EE" w:rsidRDefault="00FF59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EC999" w14:textId="77777777" w:rsidR="009B1C64" w:rsidRDefault="00000000">
    <w:pPr>
      <w:pStyle w:val="Footer"/>
      <w:jc w:val="center"/>
    </w:pPr>
    <w:r>
      <w:rPr>
        <w:color w:val="888888"/>
        <w:sz w:val="16"/>
      </w:rPr>
      <w:t>A free resource provided by www.bradfordvts.co.uk, Dr Ramesh Mehay · revised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9961F3" w14:textId="77777777" w:rsidR="00FF59EE" w:rsidRDefault="00FF59EE">
      <w:pPr>
        <w:spacing w:after="0" w:line="240" w:lineRule="auto"/>
      </w:pPr>
      <w:r>
        <w:separator/>
      </w:r>
    </w:p>
  </w:footnote>
  <w:footnote w:type="continuationSeparator" w:id="0">
    <w:p w14:paraId="7D2FD583" w14:textId="77777777" w:rsidR="00FF59EE" w:rsidRDefault="00FF59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38492754">
    <w:abstractNumId w:val="8"/>
  </w:num>
  <w:num w:numId="2" w16cid:durableId="22678041">
    <w:abstractNumId w:val="6"/>
  </w:num>
  <w:num w:numId="3" w16cid:durableId="1311247130">
    <w:abstractNumId w:val="5"/>
  </w:num>
  <w:num w:numId="4" w16cid:durableId="1184049267">
    <w:abstractNumId w:val="4"/>
  </w:num>
  <w:num w:numId="5" w16cid:durableId="1354769208">
    <w:abstractNumId w:val="7"/>
  </w:num>
  <w:num w:numId="6" w16cid:durableId="1976374806">
    <w:abstractNumId w:val="3"/>
  </w:num>
  <w:num w:numId="7" w16cid:durableId="544021663">
    <w:abstractNumId w:val="2"/>
  </w:num>
  <w:num w:numId="8" w16cid:durableId="2078354540">
    <w:abstractNumId w:val="1"/>
  </w:num>
  <w:num w:numId="9" w16cid:durableId="360395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12D2"/>
    <w:rsid w:val="0029639D"/>
    <w:rsid w:val="00326F90"/>
    <w:rsid w:val="0065517E"/>
    <w:rsid w:val="009B1C64"/>
    <w:rsid w:val="00AA1D8D"/>
    <w:rsid w:val="00B47730"/>
    <w:rsid w:val="00CB0664"/>
    <w:rsid w:val="00FC693F"/>
    <w:rsid w:val="00FF5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249726"/>
  <w14:defaultImageDpi w14:val="300"/>
  <w15:docId w15:val="{A0BFFD85-9F0B-4402-A736-BEE3D99E3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552</Words>
  <Characters>3540</Characters>
  <Application>Microsoft Office Word</Application>
  <DocSecurity>0</DocSecurity>
  <Lines>80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4032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2026-06-18T16:30:00Z</dcterms:modified>
  <cp:category/>
</cp:coreProperties>
</file>