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360"/>
            <w:shd w:val="clear" w:color="auto" w:fill="E0651F"/>
            <w:tcMar>
              <w:top w:w="180" w:type="dxa"/>
              <w:left w:w="180" w:type="dxa"/>
              <w:bottom w:w="180" w:type="dxa"/>
              <w:right w:w="180" w:type="dxa"/>
            </w:tcMar>
          </w:tcPr>
          <w:p>
            <w:pPr>
              <w:spacing w:before="120" w:after="40"/>
              <w:jc w:val="center"/>
            </w:pPr>
            <w:r>
              <w:rPr>
                <w:rFonts w:ascii="Calibri" w:hAnsi="Calibri" w:eastAsia="Calibri" w:cs="Calibri"/>
                <w:b w:val="0"/>
                <w:i w:val="0"/>
                <w:color w:val="FFFFFF"/>
                <w:sz w:val="22"/>
                <w:spacing w:val="40"/>
              </w:rPr>
              <w:t>BRADFORD VTS TEACHING AIDS</w:t>
            </w:r>
          </w:p>
          <w:p>
            <w:pPr>
              <w:spacing w:before="80" w:after="80"/>
              <w:jc w:val="center"/>
            </w:pPr>
            <w:r>
              <w:rPr>
                <w:rFonts w:ascii="Calibri" w:hAnsi="Calibri" w:eastAsia="Calibri" w:cs="Calibri"/>
                <w:b/>
                <w:i w:val="0"/>
                <w:color w:val="FFFFFF"/>
                <w:sz w:val="60"/>
              </w:rPr>
              <w:t>MSK Self-Assessment MCQs</w:t>
            </w:r>
          </w:p>
          <w:p>
            <w:pPr>
              <w:spacing w:before="40" w:after="160"/>
              <w:jc w:val="center"/>
            </w:pPr>
            <w:r>
              <w:rPr>
                <w:rFonts w:ascii="Calibri" w:hAnsi="Calibri" w:eastAsia="Calibri" w:cs="Calibri"/>
                <w:b w:val="0"/>
                <w:i/>
                <w:color w:val="FFFFFF"/>
                <w:sz w:val="24"/>
              </w:rPr>
              <w:t>Trainee Version · No Answers · Bradford VTS · June 2026</w:t>
            </w:r>
          </w:p>
        </w:tc>
      </w:tr>
    </w:tbl>
    <w:p>
      <w:pPr>
        <w:spacing w:before="200" w:after="160"/>
      </w:pPr>
      <w:r>
        <w:rPr>
          <w:rFonts w:ascii="Calibri" w:hAnsi="Calibri" w:eastAsia="Calibri" w:cs="Calibri"/>
          <w:b w:val="0"/>
          <w:i w:val="0"/>
          <w:color w:val="000000"/>
          <w:sz w:val="21"/>
        </w:rPr>
        <w:t>These self-assessment questions cover key topics from the Bradford VTS Dynamic Body MSK Course. They are designed for AKT-style factual recall and clinical decision-making practice. Attempt each question before checking the answer key with your facilitator.</w:t>
      </w:r>
    </w:p>
    <w:p>
      <w:pPr>
        <w:spacing w:before="280" w:after="120"/>
        <w:pBdr>
          <w:bottom w:val="single" w:sz="4" w:space="1" w:color="1F4E79"/>
        </w:pBdr>
      </w:pPr>
      <w:r>
        <w:rPr>
          <w:rFonts w:ascii="Calibri" w:hAnsi="Calibri" w:eastAsia="Calibri" w:cs="Calibri"/>
          <w:b/>
          <w:i w:val="0"/>
          <w:color w:val="1F4E79"/>
          <w:sz w:val="28"/>
        </w:rPr>
        <w:t>SECTION 1 — True or False: Musculoskeletal Medicine</w:t>
      </w:r>
    </w:p>
    <w:p>
      <w:pPr>
        <w:spacing w:after="120"/>
      </w:pPr>
      <w:r>
        <w:rPr>
          <w:rFonts w:ascii="Calibri" w:hAnsi="Calibri" w:eastAsia="Calibri" w:cs="Calibri"/>
          <w:b w:val="0"/>
          <w:i/>
          <w:color w:val="606060"/>
          <w:sz w:val="20"/>
        </w:rPr>
        <w:t>For each statement below, decide whether it is True or False. A short explanation follows each answer.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Q1.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The only treatment for bunions is surgery?</w:t>
            </w:r>
          </w:p>
        </w:tc>
      </w:tr>
    </w:tbl>
    <w:p>
      <w:pPr>
        <w:spacing w:after="40"/>
      </w:pPr>
    </w:p>
    <w:p>
      <w:pPr>
        <w:spacing w:after="200"/>
      </w:pPr>
      <w:r>
        <w:rPr>
          <w:rFonts w:ascii="Calibri" w:hAnsi="Calibri" w:eastAsia="Calibri" w:cs="Calibri"/>
          <w:b w:val="0"/>
          <w:i w:val="0"/>
          <w:color w:val="606060"/>
          <w:sz w:val="22"/>
        </w:rPr>
        <w:t>Answer:  ☐  TRUE     ☐  FALSE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Q2.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Plantar fasciitis is best treated by steroid injection?</w:t>
            </w:r>
          </w:p>
        </w:tc>
      </w:tr>
    </w:tbl>
    <w:p>
      <w:pPr>
        <w:spacing w:after="40"/>
      </w:pPr>
    </w:p>
    <w:p>
      <w:pPr>
        <w:spacing w:after="200"/>
      </w:pPr>
      <w:r>
        <w:rPr>
          <w:rFonts w:ascii="Calibri" w:hAnsi="Calibri" w:eastAsia="Calibri" w:cs="Calibri"/>
          <w:b w:val="0"/>
          <w:i w:val="0"/>
          <w:color w:val="606060"/>
          <w:sz w:val="22"/>
        </w:rPr>
        <w:t>Answer:  ☐  TRUE     ☐  FALSE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Q3.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Morton's neuroma is more common with a Morton's foot?</w:t>
            </w:r>
          </w:p>
        </w:tc>
      </w:tr>
    </w:tbl>
    <w:p>
      <w:pPr>
        <w:spacing w:after="40"/>
      </w:pPr>
    </w:p>
    <w:p>
      <w:pPr>
        <w:spacing w:after="200"/>
      </w:pPr>
      <w:r>
        <w:rPr>
          <w:rFonts w:ascii="Calibri" w:hAnsi="Calibri" w:eastAsia="Calibri" w:cs="Calibri"/>
          <w:b w:val="0"/>
          <w:i w:val="0"/>
          <w:color w:val="606060"/>
          <w:sz w:val="22"/>
        </w:rPr>
        <w:t>Answer:  ☐  TRUE     ☐  FALSE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Q4.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A sprained ankle should be better by 2 weeks?</w:t>
            </w:r>
          </w:p>
        </w:tc>
      </w:tr>
    </w:tbl>
    <w:p>
      <w:pPr>
        <w:spacing w:after="40"/>
      </w:pPr>
    </w:p>
    <w:p>
      <w:pPr>
        <w:spacing w:after="200"/>
      </w:pPr>
      <w:r>
        <w:rPr>
          <w:rFonts w:ascii="Calibri" w:hAnsi="Calibri" w:eastAsia="Calibri" w:cs="Calibri"/>
          <w:b w:val="0"/>
          <w:i w:val="0"/>
          <w:color w:val="606060"/>
          <w:sz w:val="22"/>
        </w:rPr>
        <w:t>Answer:  ☐  TRUE     ☐  FALSE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Q5.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Suspected Osgood–Schlatter disease should be X-rayed for confirmation?</w:t>
            </w:r>
          </w:p>
        </w:tc>
      </w:tr>
    </w:tbl>
    <w:p>
      <w:pPr>
        <w:spacing w:after="40"/>
      </w:pPr>
    </w:p>
    <w:p>
      <w:pPr>
        <w:spacing w:after="200"/>
      </w:pPr>
      <w:r>
        <w:rPr>
          <w:rFonts w:ascii="Calibri" w:hAnsi="Calibri" w:eastAsia="Calibri" w:cs="Calibri"/>
          <w:b w:val="0"/>
          <w:i w:val="0"/>
          <w:color w:val="606060"/>
          <w:sz w:val="22"/>
        </w:rPr>
        <w:t>Answer:  ☐  TRUE     ☐  FALSE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Q6.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Arthroscopy and washout is a good treatment for osteoarthritis of the knee?</w:t>
            </w:r>
          </w:p>
        </w:tc>
      </w:tr>
    </w:tbl>
    <w:p>
      <w:pPr>
        <w:spacing w:after="40"/>
      </w:pPr>
    </w:p>
    <w:p>
      <w:pPr>
        <w:spacing w:after="200"/>
      </w:pPr>
      <w:r>
        <w:rPr>
          <w:rFonts w:ascii="Calibri" w:hAnsi="Calibri" w:eastAsia="Calibri" w:cs="Calibri"/>
          <w:b w:val="0"/>
          <w:i w:val="0"/>
          <w:color w:val="606060"/>
          <w:sz w:val="22"/>
        </w:rPr>
        <w:t>Answer:  ☐  TRUE     ☐  FALSE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Q7.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McMurray's test is the best way to diagnose meniscal tears?</w:t>
            </w:r>
          </w:p>
        </w:tc>
      </w:tr>
    </w:tbl>
    <w:p>
      <w:pPr>
        <w:spacing w:after="40"/>
      </w:pPr>
    </w:p>
    <w:p>
      <w:pPr>
        <w:spacing w:after="200"/>
      </w:pPr>
      <w:r>
        <w:rPr>
          <w:rFonts w:ascii="Calibri" w:hAnsi="Calibri" w:eastAsia="Calibri" w:cs="Calibri"/>
          <w:b w:val="0"/>
          <w:i w:val="0"/>
          <w:color w:val="606060"/>
          <w:sz w:val="22"/>
        </w:rPr>
        <w:t>Answer:  ☐  TRUE     ☐  FALSE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Q8.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USS guidance is needed for trochanteric bursitis injections?</w:t>
            </w:r>
          </w:p>
        </w:tc>
      </w:tr>
    </w:tbl>
    <w:p>
      <w:pPr>
        <w:spacing w:after="40"/>
      </w:pPr>
    </w:p>
    <w:p>
      <w:pPr>
        <w:spacing w:after="200"/>
      </w:pPr>
      <w:r>
        <w:rPr>
          <w:rFonts w:ascii="Calibri" w:hAnsi="Calibri" w:eastAsia="Calibri" w:cs="Calibri"/>
          <w:b w:val="0"/>
          <w:i w:val="0"/>
          <w:color w:val="606060"/>
          <w:sz w:val="22"/>
        </w:rPr>
        <w:t>Answer:  ☐  TRUE     ☐  FALSE</w:t>
      </w:r>
    </w:p>
    <w:p>
      <w:pPr>
        <w:spacing w:before="280" w:after="120"/>
        <w:pBdr>
          <w:bottom w:val="single" w:sz="4" w:space="1" w:color="1F4E79"/>
        </w:pBdr>
      </w:pPr>
      <w:r>
        <w:rPr>
          <w:rFonts w:ascii="Calibri" w:hAnsi="Calibri" w:eastAsia="Calibri" w:cs="Calibri"/>
          <w:b/>
          <w:i w:val="0"/>
          <w:color w:val="1F4E79"/>
          <w:sz w:val="28"/>
        </w:rPr>
        <w:t>SECTION 2 — Low Back Pain MCQs</w:t>
      </w:r>
    </w:p>
    <w:p>
      <w:pPr>
        <w:spacing w:after="120"/>
      </w:pPr>
      <w:r>
        <w:rPr>
          <w:rFonts w:ascii="Calibri" w:hAnsi="Calibri" w:eastAsia="Calibri" w:cs="Calibri"/>
          <w:b w:val="0"/>
          <w:i/>
          <w:color w:val="606060"/>
          <w:sz w:val="20"/>
        </w:rPr>
        <w:t>Select all that apply. Some questions have more than one correct answer.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Q1.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Low back pain is generally understood to become 'chronic' after a period of how long?</w:t>
            </w:r>
          </w:p>
        </w:tc>
      </w:tr>
    </w:tbl>
    <w:p>
      <w:pPr>
        <w:spacing w:after="40"/>
      </w:pP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6 weeks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12 weeks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20 weeks</w:t>
      </w:r>
    </w:p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Q2.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What proportion of the population will develop low back pain at some time in their lives?</w:t>
            </w:r>
          </w:p>
        </w:tc>
      </w:tr>
    </w:tbl>
    <w:p>
      <w:pPr>
        <w:spacing w:after="40"/>
      </w:pP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20%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50%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70%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90%</w:t>
      </w:r>
    </w:p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Q3.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At what age does low back pain occur most commonly?</w:t>
            </w:r>
          </w:p>
        </w:tc>
      </w:tr>
    </w:tbl>
    <w:p>
      <w:pPr>
        <w:spacing w:after="40"/>
      </w:pP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20–30 years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35–55 years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50–65 years</w:t>
      </w:r>
    </w:p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Q4.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What proportion of low back pain sufferers go on to develop chronic low back pain?</w:t>
            </w:r>
          </w:p>
        </w:tc>
      </w:tr>
    </w:tbl>
    <w:p>
      <w:pPr>
        <w:spacing w:after="40"/>
      </w:pP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10%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2–7%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20%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5–10%</w:t>
      </w:r>
    </w:p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Q5.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How much radiation is involved in a plain lumbar spine X-ray compared to a chest X-ray?</w:t>
            </w:r>
          </w:p>
        </w:tc>
      </w:tr>
    </w:tbl>
    <w:p>
      <w:pPr>
        <w:spacing w:after="40"/>
      </w:pP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Equal amounts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Lumbar spine = 2 × Chest X-ray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Lumbar spine = 20 × Chest X-ray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Lumbar spine = 150 × Chest X-ray</w:t>
      </w:r>
    </w:p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Q6.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What is the role of psychosocial factors in chronic low back pain?</w:t>
            </w:r>
          </w:p>
        </w:tc>
      </w:tr>
    </w:tbl>
    <w:p>
      <w:pPr>
        <w:spacing w:after="40"/>
      </w:pP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Psychosocial factors only come into play when the LBP is very prolonged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Psychosocial factors influence response to treatment and rehabilitation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Biomedical factors are more important than psychosocial factors in determining chronicity</w:t>
      </w:r>
    </w:p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Q7.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The following drugs should be considered of value in the management of acute low back pain:</w:t>
            </w:r>
          </w:p>
        </w:tc>
      </w:tr>
    </w:tbl>
    <w:p>
      <w:pPr>
        <w:spacing w:after="40"/>
      </w:pP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Paracetamol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NSAIDs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Muscle relaxants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Narcotic analgesics</w:t>
      </w:r>
    </w:p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Q8.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Which of the following are 'red flags' for possible serious spinal pathology?</w:t>
            </w:r>
          </w:p>
        </w:tc>
      </w:tr>
    </w:tbl>
    <w:p>
      <w:pPr>
        <w:spacing w:after="40"/>
      </w:pP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Age over 55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Anorexia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Systemic steroid therapy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Difficulty with micturition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Cough-impulse pain</w:t>
      </w:r>
    </w:p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Q9.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What are the risk factors for chronicity (yellow flags)?</w:t>
            </w:r>
          </w:p>
        </w:tc>
      </w:tr>
    </w:tbl>
    <w:p>
      <w:pPr>
        <w:spacing w:after="40"/>
      </w:pP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Previous history of low back pain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Nerve root signs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Medico-legal compensation claim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Heavy smoking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Depressive symptoms</w:t>
      </w:r>
    </w:p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Q10.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For which of the following interventions is there overall evidence of benefit?</w:t>
            </w:r>
          </w:p>
        </w:tc>
      </w:tr>
    </w:tbl>
    <w:p>
      <w:pPr>
        <w:spacing w:after="40"/>
      </w:pP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Activity (avoidance of bed rest)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NSAIDs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Epidural injections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Back exercises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Traction</w:t>
      </w:r>
    </w:p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Q11.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In the management of chronic back pain, which interventions are known to be beneficial for some patients?</w:t>
            </w:r>
          </w:p>
        </w:tc>
      </w:tr>
    </w:tbl>
    <w:p>
      <w:pPr>
        <w:spacing w:after="40"/>
      </w:pP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Advice to stay active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Epidural corticosteroid injections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NSAIDs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Spinal manipulation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Microdiscectomy</w:t>
      </w:r>
    </w:p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Q12.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Which features suggest nerve root pain?</w:t>
            </w:r>
          </w:p>
        </w:tc>
      </w:tr>
    </w:tbl>
    <w:p>
      <w:pPr>
        <w:spacing w:after="40"/>
      </w:pP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Radiation to foot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Reduced straight leg raising causing back pain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Weakness in both feet</w:t>
      </w:r>
    </w:p>
    <w:p>
      <w:pPr>
        <w:spacing w:after="60"/>
        <w:ind w:left="432"/>
      </w:pPr>
      <w:r>
        <w:rPr>
          <w:rFonts w:ascii="Calibri" w:hAnsi="Calibri" w:eastAsia="Calibri" w:cs="Calibri"/>
          <w:b w:val="0"/>
          <w:i w:val="0"/>
          <w:color w:val="000000"/>
          <w:sz w:val="22"/>
        </w:rPr>
        <w:t>○  Numbness and paraesthesiae radiating to the foot or toes</w:t>
      </w:r>
    </w:p>
    <w:p>
      <w:pPr>
        <w:spacing w:after="200"/>
      </w:pPr>
    </w:p>
    <w:p/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3CC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0000"/>
                <w:sz w:val="21"/>
              </w:rPr>
              <w:t>⚠  Always double check this advice and drug doses with the latest NICE/BNF guidance. This document is for educational purposes only.</w:t>
            </w:r>
          </w:p>
        </w:tc>
      </w:tr>
    </w:tbl>
    <w:p>
      <w:pPr>
        <w:spacing w:after="40"/>
      </w:pPr>
    </w:p>
    <w:sectPr w:rsidR="00FC693F" w:rsidRPr="0006063C" w:rsidSect="00034616">
      <w:footerReference w:type="default" r:id="rId9"/>
      <w:pgSz w:w="12240" w:h="15840"/>
      <w:pgMar w:top="850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 w:cs="Calibri"/>
        <w:b w:val="0"/>
        <w:i w:val="0"/>
        <w:color w:val="808080"/>
        <w:sz w:val="16"/>
      </w:rPr>
      <w:t>A free resource provided by www.bradfordvts.co.uk, Dr Ramesh Mehay, Bradford VTS · June 2026</w:t>
    </w:r>
  </w:p>
  <w:p>
    <w:pPr>
      <w:jc w:val="center"/>
    </w:pPr>
    <w:r>
      <w:rPr>
        <w:rFonts w:ascii="Calibri" w:hAnsi="Calibri" w:eastAsia="Calibri" w:cs="Calibri"/>
        <w:b w:val="0"/>
        <w:i w:val="0"/>
        <w:color w:val="808080"/>
        <w:sz w:val="16"/>
      </w:rPr>
      <w:fldChar w:fldCharType="begin"/>
      <w:instrText xml:space="preserve">PAGE</w:instrText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 w:cs="Calibri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