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tbl>
      <w:tblPr>
        <w:tblW w:type="dxa" w:w="9746"/>
        <w:tblBorders>
          <w:top w:val="none" w:color="FFFFFF" w:sz="0"/>
          <w:left w:val="none" w:color="FFFFFF" w:sz="0"/>
          <w:bottom w:val="none" w:color="FFFFFF" w:sz="0"/>
          <w:right w:val="none" w:color="FFFFFF" w:sz="0"/>
          <w:insideH w:val="none" w:color="FFFFFF" w:sz="0"/>
          <w:insideV w:val="none" w:color="FFFFFF" w:sz="0"/>
        </w:tblBorders>
      </w:tblPr>
      <w:tblGrid>
        <w:gridCol w:w="6846"/>
        <w:gridCol w:w="2900"/>
      </w:tblGrid>
      <w:tr>
        <w:tc>
          <w:tcPr>
            <w:tcW w:type="dxa" w:w="6846"/>
            <w:tcBorders>
              <w:top w:val="none" w:color="FFFFFF" w:sz="0"/>
              <w:left w:val="none" w:color="FFFFFF" w:sz="0"/>
              <w:bottom w:val="none" w:color="FFFFFF" w:sz="0"/>
              <w:right w:val="none" w:color="FFFFFF" w:sz="0"/>
            </w:tcBorders>
            <w:shd w:fill="E2661A" w:color="auto" w:val="clear"/>
            <w:tcMar>
              <w:top w:type="dxa" w:w="150"/>
              <w:left w:type="dxa" w:w="230"/>
              <w:bottom w:type="dxa" w:w="150"/>
              <w:right w:type="dxa" w:w="230"/>
            </w:tcMar>
            <w:vAlign w:val="center"/>
          </w:tcPr>
          <w:p>
            <w:pPr>
              <w:spacing w:after="0"/>
              <w:jc w:val="left"/>
            </w:pPr>
            <w:r>
              <w:rPr>
                <w:rFonts w:ascii="Arial" w:cs="Arial" w:eastAsia="Arial" w:hAnsi="Arial"/>
                <w:b/>
                <w:bCs/>
                <w:color w:val="FFFFFF"/>
                <w:spacing w:val="30"/>
                <w:sz w:val="30"/>
                <w:szCs w:val="30"/>
              </w:rPr>
              <w:t xml:space="preserve">BRADFORD VTS</w:t>
            </w:r>
            <w:r>
              <w:rPr>
                <w:rFonts w:ascii="Arial" w:cs="Arial" w:eastAsia="Arial" w:hAnsi="Arial"/>
                <w:b/>
                <w:bCs/>
                <w:color w:val="FFE6D6"/>
                <w:spacing w:val="30"/>
                <w:sz w:val="30"/>
                <w:szCs w:val="30"/>
              </w:rPr>
              <w:t xml:space="preserve">  TEACHING AIDS</w:t>
            </w:r>
          </w:p>
        </w:tc>
        <w:tc>
          <w:tcPr>
            <w:tcW w:type="dxa" w:w="2900"/>
            <w:tcBorders>
              <w:top w:val="none" w:color="FFFFFF" w:sz="0"/>
              <w:left w:val="none" w:color="FFFFFF" w:sz="0"/>
              <w:bottom w:val="none" w:color="FFFFFF" w:sz="0"/>
              <w:right w:val="none" w:color="FFFFFF" w:sz="0"/>
            </w:tcBorders>
            <w:shd w:fill="E2661A" w:color="auto" w:val="clear"/>
            <w:tcMar>
              <w:top w:type="dxa" w:w="150"/>
              <w:left w:type="dxa" w:w="230"/>
              <w:bottom w:type="dxa" w:w="150"/>
              <w:right w:type="dxa" w:w="230"/>
            </w:tcMar>
            <w:vAlign w:val="center"/>
          </w:tcPr>
          <w:p>
            <w:pPr>
              <w:spacing w:after="0"/>
              <w:jc w:val="right"/>
            </w:pPr>
            <w:r>
              <w:rPr>
                <w:rFonts w:ascii="Arial" w:cs="Arial" w:eastAsia="Arial" w:hAnsi="Arial"/>
                <w:b/>
                <w:bCs/>
                <w:color w:val="FFFFFF"/>
                <w:sz w:val="22"/>
                <w:szCs w:val="22"/>
              </w:rPr>
              <w:t xml:space="preserve">June 2026</w:t>
            </w:r>
          </w:p>
        </w:tc>
      </w:tr>
    </w:tbl>
    <w:p>
      <w:pPr>
        <w:spacing w:after="40" w:before="220"/>
      </w:pPr>
      <w:r>
        <w:rPr>
          <w:rFonts w:ascii="Arial" w:cs="Arial" w:eastAsia="Arial" w:hAnsi="Arial"/>
          <w:b/>
          <w:bCs/>
          <w:color w:val="E2661A"/>
          <w:spacing w:val="40"/>
          <w:sz w:val="17"/>
          <w:szCs w:val="17"/>
        </w:rPr>
        <w:t xml:space="preserve">MUSCULOSKELETAL OSCE · STATION 3</w:t>
      </w:r>
    </w:p>
    <w:p>
      <w:pPr>
        <w:spacing w:after="40"/>
      </w:pPr>
      <w:r>
        <w:rPr>
          <w:rFonts w:ascii="Arial" w:cs="Arial" w:eastAsia="Arial" w:hAnsi="Arial"/>
          <w:b/>
          <w:bCs/>
          <w:color w:val="1A2230"/>
          <w:sz w:val="40"/>
          <w:szCs w:val="40"/>
        </w:rPr>
        <w:t xml:space="preserve">Carpal Tunnel Syndrome</w:t>
      </w:r>
    </w:p>
    <w:p>
      <w:pPr>
        <w:spacing w:after="60"/>
      </w:pPr>
      <w:r>
        <w:rPr>
          <w:rFonts w:ascii="Arial" w:cs="Arial" w:eastAsia="Arial" w:hAnsi="Arial"/>
          <w:color w:val="5E6E7E"/>
          <w:sz w:val="22"/>
          <w:szCs w:val="22"/>
        </w:rPr>
        <w:t xml:space="preserve">A ready-to-run assessment station with feedback sheet — for GP trainees and IMGs</w:t>
      </w:r>
    </w:p>
    <w:p>
      <w:pPr>
        <w:pBdr>
          <w:bottom w:val="single" w:color="E2661A" w:sz="18" w:space="1"/>
        </w:pBdr>
        <w:spacing w:after="160"/>
      </w:pPr>
      <w:r>
        <w:rPr>
          <w:rFonts w:ascii="Arial" w:cs="Arial" w:eastAsia="Arial" w:hAnsi="Arial"/>
        </w:rPr>
        <w:t xml:space="preserve"/>
      </w:r>
    </w:p>
    <w:tbl>
      <w:tblPr>
        <w:tblW w:type="dxa" w:w="9746"/>
        <w:tblBorders>
          <w:top w:val="none" w:color="FFFFFF" w:sz="0"/>
          <w:left w:val="none" w:color="FFFFFF" w:sz="0"/>
          <w:bottom w:val="none" w:color="FFFFFF" w:sz="0"/>
          <w:right w:val="none" w:color="FFFFFF" w:sz="0"/>
          <w:insideH w:val="none" w:color="FFFFFF" w:sz="0"/>
          <w:insideV w:val="none" w:color="FFFFFF" w:sz="0"/>
        </w:tblBorders>
      </w:tblPr>
      <w:tblGrid>
        <w:gridCol w:w="70"/>
        <w:gridCol w:w="9676"/>
      </w:tblGrid>
      <w:tr>
        <w:trPr>
          <w:cantSplit/>
        </w:trPr>
        <w:tc>
          <w:tcPr>
            <w:tcW w:type="dxa" w:w="70"/>
            <w:tcBorders>
              <w:top w:val="none" w:color="FFFFFF" w:sz="0"/>
              <w:left w:val="none" w:color="FFFFFF" w:sz="0"/>
              <w:bottom w:val="none" w:color="FFFFFF" w:sz="0"/>
              <w:right w:val="none" w:color="FFFFFF" w:sz="0"/>
            </w:tcBorders>
            <w:shd w:fill="2E8B57" w:color="auto" w:val="clear"/>
            <w:tcMar>
              <w:top w:type="dxa" w:w="0"/>
              <w:left w:type="dxa" w:w="0"/>
              <w:bottom w:type="dxa" w:w="0"/>
              <w:right w:type="dxa" w:w="0"/>
            </w:tcMar>
          </w:tcPr>
          <w:p>
            <w:r>
              <w:rPr>
                <w:rFonts w:ascii="Arial" w:cs="Arial" w:eastAsia="Arial" w:hAnsi="Arial"/>
              </w:rPr>
              <w:t xml:space="preserve"/>
            </w:r>
          </w:p>
        </w:tc>
        <w:tc>
          <w:tcPr>
            <w:tcW w:type="dxa" w:w="9676"/>
            <w:tcBorders>
              <w:top w:val="none" w:color="FFFFFF" w:sz="0"/>
              <w:left w:val="none" w:color="FFFFFF" w:sz="0"/>
              <w:bottom w:val="none" w:color="FFFFFF" w:sz="0"/>
              <w:right w:val="none" w:color="FFFFFF" w:sz="0"/>
            </w:tcBorders>
            <w:shd w:fill="ECF7EE" w:color="auto" w:val="clear"/>
            <w:tcMar>
              <w:top w:type="dxa" w:w="130"/>
              <w:left w:type="dxa" w:w="200"/>
              <w:bottom w:type="dxa" w:w="130"/>
              <w:right w:type="dxa" w:w="180"/>
            </w:tcMar>
          </w:tcPr>
          <w:p>
            <w:pPr>
              <w:spacing w:after="70"/>
            </w:pPr>
            <w:r>
              <w:rPr>
                <w:rFonts w:ascii="Arial" w:cs="Arial" w:eastAsia="Arial" w:hAnsi="Arial"/>
                <w:sz w:val="22"/>
                <w:szCs w:val="22"/>
              </w:rPr>
              <w:t xml:space="preserve">★  </w:t>
            </w:r>
            <w:r>
              <w:rPr>
                <w:rFonts w:ascii="Arial" w:cs="Arial" w:eastAsia="Arial" w:hAnsi="Arial"/>
                <w:b/>
                <w:bCs/>
                <w:color w:val="1E6B3A"/>
                <w:spacing w:val="6"/>
                <w:sz w:val="21"/>
                <w:szCs w:val="21"/>
              </w:rPr>
              <w:t xml:space="preserve">WHAT THIS STATION TESTS</w:t>
            </w:r>
          </w:p>
          <w:p>
            <w:pPr>
              <w:spacing w:after="50"/>
            </w:pPr>
            <w:r>
              <w:rPr>
                <w:rFonts w:ascii="Arial" w:cs="Arial" w:eastAsia="Arial" w:hAnsi="Arial"/>
              </w:rPr>
              <w:t xml:space="preserve">Can the trainee take a focused history, examine the hand, reach the diagnosis of carpal tunnel syndrome, and discuss sensible management — including </w:t>
            </w:r>
            <w:r>
              <w:rPr>
                <w:rFonts w:ascii="Arial" w:cs="Arial" w:eastAsia="Arial" w:hAnsi="Arial"/>
                <w:b/>
                <w:bCs/>
                <w:color w:val="1A2230"/>
              </w:rPr>
              <w:t xml:space="preserve">when to refer urgently</w:t>
            </w:r>
            <w:r>
              <w:rPr>
                <w:rFonts w:ascii="Arial" w:cs="Arial" w:eastAsia="Arial" w:hAnsi="Arial"/>
              </w:rPr>
              <w:t xml:space="preserve">? The patient is Mrs B, with classic night-time symptoms.</w:t>
            </w:r>
          </w:p>
        </w:tc>
      </w:tr>
    </w:tbl>
    <w:p>
      <w:pPr>
        <w:keepNext/>
        <w:keepLines/>
        <w:pBdr>
          <w:top w:val="single" w:color="F7E2D3" w:sz="2" w:space="4"/>
          <w:left w:val="single" w:color="E2661A" w:sz="26" w:space="8"/>
          <w:bottom w:val="single" w:color="F7E2D3" w:sz="2" w:space="4"/>
          <w:right w:val="single" w:color="F7E2D3" w:sz="2" w:space="4"/>
        </w:pBdr>
        <w:shd w:fill="FCEFE6" w:color="auto" w:val="clear"/>
        <w:spacing w:after="120" w:before="260"/>
        <w:ind w:left="120"/>
      </w:pPr>
      <w:r>
        <w:rPr>
          <w:rFonts w:ascii="Arial" w:cs="Arial" w:eastAsia="Arial" w:hAnsi="Arial"/>
          <w:b/>
          <w:bCs/>
          <w:color w:val="1A2230"/>
          <w:sz w:val="26"/>
          <w:szCs w:val="26"/>
        </w:rPr>
        <w:t xml:space="preserve">How to run the station</w:t>
      </w:r>
    </w:p>
    <w:tbl>
      <w:tblPr>
        <w:tblW w:type="dxa" w:w="9746"/>
        <w:tblBorders>
          <w:top w:val="single" w:color="DBE1E8" w:sz="4"/>
          <w:left w:val="single" w:color="DBE1E8" w:sz="4"/>
          <w:bottom w:val="single" w:color="DBE1E8" w:sz="4"/>
          <w:right w:val="single" w:color="DBE1E8" w:sz="4"/>
          <w:insideH w:val="single" w:color="DBE1E8" w:sz="4"/>
          <w:insideV w:val="single" w:color="DBE1E8" w:sz="4"/>
        </w:tblBorders>
      </w:tblPr>
      <w:tblGrid>
        <w:gridCol w:w="2400"/>
        <w:gridCol w:w="7346"/>
      </w:tblGrid>
      <w:tr>
        <w:trPr>
          <w:cantSplit/>
          <w:tblHeader/>
        </w:trPr>
        <w:tc>
          <w:tcPr>
            <w:tcW w:type="dxa" w:w="2400"/>
            <w:tcBorders>
              <w:top w:val="single" w:color="DBE1E8" w:sz="4"/>
              <w:left w:val="single" w:color="DBE1E8" w:sz="4"/>
              <w:bottom w:val="single" w:color="DBE1E8" w:sz="4"/>
              <w:right w:val="single" w:color="DBE1E8" w:sz="4"/>
            </w:tcBorders>
            <w:shd w:fill="1A2230" w:color="auto" w:val="clear"/>
            <w:tcMar>
              <w:top w:type="dxa" w:w="70"/>
              <w:left w:type="dxa" w:w="130"/>
              <w:bottom w:type="dxa" w:w="70"/>
              <w:right w:type="dxa" w:w="110"/>
            </w:tcMar>
            <w:vAlign w:val="center"/>
          </w:tcPr>
          <w:p>
            <w:pPr>
              <w:spacing w:after="0"/>
              <w:jc w:val="left"/>
            </w:pPr>
            <w:r>
              <w:rPr>
                <w:rFonts w:ascii="Arial" w:cs="Arial" w:eastAsia="Arial" w:hAnsi="Arial"/>
                <w:b/>
                <w:bCs/>
                <w:color w:val="FFFFFF"/>
                <w:sz w:val="19"/>
                <w:szCs w:val="19"/>
              </w:rPr>
              <w:t xml:space="preserve">Element</w:t>
            </w:r>
          </w:p>
        </w:tc>
        <w:tc>
          <w:tcPr>
            <w:tcW w:type="dxa" w:w="7346"/>
            <w:tcBorders>
              <w:top w:val="single" w:color="DBE1E8" w:sz="4"/>
              <w:left w:val="single" w:color="DBE1E8" w:sz="4"/>
              <w:bottom w:val="single" w:color="DBE1E8" w:sz="4"/>
              <w:right w:val="single" w:color="DBE1E8" w:sz="4"/>
            </w:tcBorders>
            <w:shd w:fill="1A2230" w:color="auto" w:val="clear"/>
            <w:tcMar>
              <w:top w:type="dxa" w:w="70"/>
              <w:left w:type="dxa" w:w="130"/>
              <w:bottom w:type="dxa" w:w="70"/>
              <w:right w:type="dxa" w:w="110"/>
            </w:tcMar>
            <w:vAlign w:val="center"/>
          </w:tcPr>
          <w:p>
            <w:pPr>
              <w:spacing w:after="0"/>
              <w:jc w:val="left"/>
            </w:pPr>
            <w:r>
              <w:rPr>
                <w:rFonts w:ascii="Arial" w:cs="Arial" w:eastAsia="Arial" w:hAnsi="Arial"/>
                <w:b/>
                <w:bCs/>
                <w:color w:val="FFFFFF"/>
                <w:sz w:val="19"/>
                <w:szCs w:val="19"/>
              </w:rPr>
              <w:t xml:space="preserve">Detail</w:t>
            </w:r>
          </w:p>
        </w:tc>
      </w:tr>
      <w:tr>
        <w:trPr>
          <w:cantSplit/>
        </w:trPr>
        <w:tc>
          <w:tcPr>
            <w:tcW w:type="dxa" w:w="2400"/>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b/>
                <w:bCs/>
                <w:color w:val="1A2230"/>
                <w:sz w:val="19"/>
                <w:szCs w:val="19"/>
              </w:rPr>
              <w:t xml:space="preserve">Format</w:t>
            </w:r>
          </w:p>
        </w:tc>
        <w:tc>
          <w:tcPr>
            <w:tcW w:type="dxa" w:w="7346"/>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One trainee, one assessor, one patient. 7–10 minutes for the consultation, then 5–7 minutes of feedback.</w:t>
            </w:r>
          </w:p>
        </w:tc>
      </w:tr>
      <w:tr>
        <w:trPr>
          <w:cantSplit/>
        </w:trPr>
        <w:tc>
          <w:tcPr>
            <w:tcW w:type="dxa" w:w="2400"/>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b/>
                <w:bCs/>
                <w:color w:val="1A2230"/>
                <w:sz w:val="19"/>
                <w:szCs w:val="19"/>
              </w:rPr>
              <w:t xml:space="preserve">Equipment</w:t>
            </w:r>
          </w:p>
        </w:tc>
        <w:tc>
          <w:tcPr>
            <w:tcW w:type="dxa" w:w="7346"/>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None required.</w:t>
            </w:r>
          </w:p>
        </w:tc>
      </w:tr>
      <w:tr>
        <w:trPr>
          <w:cantSplit/>
        </w:trPr>
        <w:tc>
          <w:tcPr>
            <w:tcW w:type="dxa" w:w="2400"/>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b/>
                <w:bCs/>
                <w:color w:val="1A2230"/>
                <w:sz w:val="19"/>
                <w:szCs w:val="19"/>
              </w:rPr>
              <w:t xml:space="preserve">The task</w:t>
            </w:r>
          </w:p>
        </w:tc>
        <w:tc>
          <w:tcPr>
            <w:tcW w:type="dxa" w:w="7346"/>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Ask any relevant questions, examine Mrs B (explaining as you go), give the diagnosis, decide on any investigations, and outline the treatment options.</w:t>
            </w:r>
          </w:p>
        </w:tc>
      </w:tr>
    </w:tbl>
    <w:p>
      <w:pPr>
        <w:keepNext/>
        <w:keepLines/>
        <w:pBdr>
          <w:top w:val="single" w:color="F7E2D3" w:sz="2" w:space="4"/>
          <w:left w:val="single" w:color="E2661A" w:sz="26" w:space="8"/>
          <w:bottom w:val="single" w:color="F7E2D3" w:sz="2" w:space="4"/>
          <w:right w:val="single" w:color="F7E2D3" w:sz="2" w:space="4"/>
        </w:pBdr>
        <w:shd w:fill="FCEFE6" w:color="auto" w:val="clear"/>
        <w:spacing w:after="120" w:before="260"/>
        <w:ind w:left="120"/>
      </w:pPr>
      <w:r>
        <w:rPr>
          <w:rFonts w:ascii="Arial" w:cs="Arial" w:eastAsia="Arial" w:hAnsi="Arial"/>
          <w:b/>
          <w:bCs/>
          <w:color w:val="1A2230"/>
          <w:sz w:val="26"/>
          <w:szCs w:val="26"/>
        </w:rPr>
        <w:t xml:space="preserve">Trainee briefing sheet</w:t>
      </w:r>
    </w:p>
    <w:tbl>
      <w:tblPr>
        <w:tblW w:type="dxa" w:w="9746"/>
        <w:tblBorders>
          <w:top w:val="none" w:color="FFFFFF" w:sz="0"/>
          <w:left w:val="none" w:color="FFFFFF" w:sz="0"/>
          <w:bottom w:val="none" w:color="FFFFFF" w:sz="0"/>
          <w:right w:val="none" w:color="FFFFFF" w:sz="0"/>
          <w:insideH w:val="none" w:color="FFFFFF" w:sz="0"/>
          <w:insideV w:val="none" w:color="FFFFFF" w:sz="0"/>
        </w:tblBorders>
      </w:tblPr>
      <w:tblGrid>
        <w:gridCol w:w="70"/>
        <w:gridCol w:w="9676"/>
      </w:tblGrid>
      <w:tr>
        <w:trPr>
          <w:cantSplit/>
        </w:trPr>
        <w:tc>
          <w:tcPr>
            <w:tcW w:type="dxa" w:w="70"/>
            <w:tcBorders>
              <w:top w:val="none" w:color="FFFFFF" w:sz="0"/>
              <w:left w:val="none" w:color="FFFFFF" w:sz="0"/>
              <w:bottom w:val="none" w:color="FFFFFF" w:sz="0"/>
              <w:right w:val="none" w:color="FFFFFF" w:sz="0"/>
            </w:tcBorders>
            <w:shd w:fill="2E75B6" w:color="auto" w:val="clear"/>
            <w:tcMar>
              <w:top w:type="dxa" w:w="0"/>
              <w:left w:type="dxa" w:w="0"/>
              <w:bottom w:type="dxa" w:w="0"/>
              <w:right w:type="dxa" w:w="0"/>
            </w:tcMar>
          </w:tcPr>
          <w:p>
            <w:r>
              <w:rPr>
                <w:rFonts w:ascii="Arial" w:cs="Arial" w:eastAsia="Arial" w:hAnsi="Arial"/>
              </w:rPr>
              <w:t xml:space="preserve"/>
            </w:r>
          </w:p>
        </w:tc>
        <w:tc>
          <w:tcPr>
            <w:tcW w:type="dxa" w:w="9676"/>
            <w:tcBorders>
              <w:top w:val="none" w:color="FFFFFF" w:sz="0"/>
              <w:left w:val="none" w:color="FFFFFF" w:sz="0"/>
              <w:bottom w:val="none" w:color="FFFFFF" w:sz="0"/>
              <w:right w:val="none" w:color="FFFFFF" w:sz="0"/>
            </w:tcBorders>
            <w:shd w:fill="EAF1FA" w:color="auto" w:val="clear"/>
            <w:tcMar>
              <w:top w:type="dxa" w:w="130"/>
              <w:left w:type="dxa" w:w="200"/>
              <w:bottom w:type="dxa" w:w="130"/>
              <w:right w:type="dxa" w:w="180"/>
            </w:tcMar>
          </w:tcPr>
          <w:p>
            <w:pPr>
              <w:spacing w:after="70"/>
            </w:pPr>
            <w:r>
              <w:rPr>
                <w:rFonts w:ascii="Arial" w:cs="Arial" w:eastAsia="Arial" w:hAnsi="Arial"/>
                <w:sz w:val="22"/>
                <w:szCs w:val="22"/>
              </w:rPr>
              <w:t xml:space="preserve">📋  </w:t>
            </w:r>
            <w:r>
              <w:rPr>
                <w:rFonts w:ascii="Arial" w:cs="Arial" w:eastAsia="Arial" w:hAnsi="Arial"/>
                <w:b/>
                <w:bCs/>
                <w:color w:val="1F4E79"/>
                <w:spacing w:val="6"/>
                <w:sz w:val="21"/>
                <w:szCs w:val="21"/>
              </w:rPr>
              <w:t xml:space="preserve">GIVE THIS TO THE TRAINEE</w:t>
            </w:r>
          </w:p>
          <w:p>
            <w:pPr>
              <w:spacing w:after="50"/>
            </w:pPr>
            <w:r>
              <w:rPr>
                <w:rFonts w:ascii="Arial" w:cs="Arial" w:eastAsia="Arial" w:hAnsi="Arial"/>
                <w:b/>
                <w:bCs/>
                <w:color w:val="1A2230"/>
              </w:rPr>
              <w:t xml:space="preserve">Your patient, Mrs B, </w:t>
            </w:r>
            <w:r>
              <w:rPr>
                <w:rFonts w:ascii="Arial" w:cs="Arial" w:eastAsia="Arial" w:hAnsi="Arial"/>
              </w:rPr>
              <w:t xml:space="preserve">describes distressing symptoms in her hands that are worst at night. Tingling and numbness wake her, and she relieves them by “flicking” her wrists.</w:t>
            </w:r>
          </w:p>
          <w:p>
            <w:pPr>
              <w:spacing w:after="0"/>
            </w:pPr>
            <w:r>
              <w:rPr>
                <w:rFonts w:ascii="Arial" w:cs="Arial" w:eastAsia="Arial" w:hAnsi="Arial"/>
                <w:b/>
                <w:bCs/>
                <w:color w:val="1A2230"/>
              </w:rPr>
              <w:t xml:space="preserve">Your task: </w:t>
            </w:r>
            <w:r>
              <w:rPr>
                <w:rFonts w:ascii="Arial" w:cs="Arial" w:eastAsia="Arial" w:hAnsi="Arial"/>
              </w:rPr>
              <w:t xml:space="preserve">take a focused history, examine her, give your diagnosis, decide on any investigations, and discuss the treatment options.</w:t>
            </w:r>
          </w:p>
        </w:tc>
      </w:tr>
    </w:tbl>
    <w:p>
      <w:pPr>
        <w:keepNext/>
        <w:keepLines/>
        <w:pBdr>
          <w:top w:val="single" w:color="F7E2D3" w:sz="2" w:space="4"/>
          <w:left w:val="single" w:color="E2661A" w:sz="26" w:space="8"/>
          <w:bottom w:val="single" w:color="F7E2D3" w:sz="2" w:space="4"/>
          <w:right w:val="single" w:color="F7E2D3" w:sz="2" w:space="4"/>
        </w:pBdr>
        <w:shd w:fill="FCEFE6" w:color="auto" w:val="clear"/>
        <w:spacing w:after="120" w:before="260"/>
        <w:ind w:left="120"/>
      </w:pPr>
      <w:r>
        <w:rPr>
          <w:rFonts w:ascii="Arial" w:cs="Arial" w:eastAsia="Arial" w:hAnsi="Arial"/>
          <w:b/>
          <w:bCs/>
          <w:color w:val="1A2230"/>
          <w:sz w:val="26"/>
          <w:szCs w:val="26"/>
        </w:rPr>
        <w:t xml:space="preserve">The median nerve — the key to this station</w:t>
      </w:r>
    </w:p>
    <w:p>
      <w:pPr>
        <w:spacing w:after="140"/>
      </w:pPr>
      <w:r>
        <w:rPr>
          <w:rFonts w:ascii="Arial" w:cs="Arial" w:eastAsia="Arial" w:hAnsi="Arial"/>
          <w:color w:val="283545"/>
          <w:sz w:val="22"/>
          <w:szCs w:val="22"/>
        </w:rPr>
        <w:t xml:space="preserve">Everything in this station follows from where the median nerve goes. Hold this picture in mind.</w:t>
      </w:r>
    </w:p>
    <w:p>
      <w:pPr>
        <w:spacing w:after="60" w:before="60"/>
        <w:jc w:val="center"/>
      </w:pPr>
      <w:r>
        <w:drawing>
          <wp:inline distT="0" distB="0" distL="0" distR="0">
            <wp:extent cx="3048000" cy="3048000"/>
            <wp:effectExtent t="0" r="0" b="0" l="0"/>
            <wp:docPr id="1" name="diagram" descr="Thumb, index, middle, radial ring" title="Median nerve territo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 cstate="none"/>
                    <a:srcRect/>
                    <a:stretch>
                      <a:fillRect/>
                    </a:stretch>
                  </pic:blipFill>
                  <pic:spPr bwMode="auto">
                    <a:xfrm>
                      <a:off x="0" y="0"/>
                      <a:ext cx="3048000" cy="3048000"/>
                    </a:xfrm>
                    <a:prstGeom prst="rect">
                      <a:avLst/>
                    </a:prstGeom>
                  </pic:spPr>
                </pic:pic>
              </a:graphicData>
            </a:graphic>
          </wp:inline>
        </w:drawing>
      </w:r>
    </w:p>
    <w:tbl>
      <w:tblPr>
        <w:tblW w:type="dxa" w:w="9746"/>
        <w:tblBorders>
          <w:top w:val="none" w:color="FFFFFF" w:sz="0"/>
          <w:left w:val="none" w:color="FFFFFF" w:sz="0"/>
          <w:bottom w:val="none" w:color="FFFFFF" w:sz="0"/>
          <w:right w:val="none" w:color="FFFFFF" w:sz="0"/>
          <w:insideH w:val="none" w:color="FFFFFF" w:sz="0"/>
          <w:insideV w:val="none" w:color="FFFFFF" w:sz="0"/>
        </w:tblBorders>
      </w:tblPr>
      <w:tblGrid>
        <w:gridCol w:w="70"/>
        <w:gridCol w:w="9676"/>
      </w:tblGrid>
      <w:tr>
        <w:trPr>
          <w:cantSplit/>
        </w:trPr>
        <w:tc>
          <w:tcPr>
            <w:tcW w:type="dxa" w:w="70"/>
            <w:tcBorders>
              <w:top w:val="none" w:color="FFFFFF" w:sz="0"/>
              <w:left w:val="none" w:color="FFFFFF" w:sz="0"/>
              <w:bottom w:val="none" w:color="FFFFFF" w:sz="0"/>
              <w:right w:val="none" w:color="FFFFFF" w:sz="0"/>
            </w:tcBorders>
            <w:shd w:fill="E08A1E" w:color="auto" w:val="clear"/>
            <w:tcMar>
              <w:top w:type="dxa" w:w="0"/>
              <w:left w:type="dxa" w:w="0"/>
              <w:bottom w:type="dxa" w:w="0"/>
              <w:right w:type="dxa" w:w="0"/>
            </w:tcMar>
          </w:tcPr>
          <w:p>
            <w:r>
              <w:rPr>
                <w:rFonts w:ascii="Arial" w:cs="Arial" w:eastAsia="Arial" w:hAnsi="Arial"/>
              </w:rPr>
              <w:t xml:space="preserve"/>
            </w:r>
          </w:p>
        </w:tc>
        <w:tc>
          <w:tcPr>
            <w:tcW w:type="dxa" w:w="9676"/>
            <w:tcBorders>
              <w:top w:val="none" w:color="FFFFFF" w:sz="0"/>
              <w:left w:val="none" w:color="FFFFFF" w:sz="0"/>
              <w:bottom w:val="none" w:color="FFFFFF" w:sz="0"/>
              <w:right w:val="none" w:color="FFFFFF" w:sz="0"/>
            </w:tcBorders>
            <w:shd w:fill="FEF4E2" w:color="auto" w:val="clear"/>
            <w:tcMar>
              <w:top w:type="dxa" w:w="130"/>
              <w:left w:type="dxa" w:w="200"/>
              <w:bottom w:type="dxa" w:w="130"/>
              <w:right w:type="dxa" w:w="180"/>
            </w:tcMar>
          </w:tcPr>
          <w:p>
            <w:pPr>
              <w:spacing w:after="70"/>
            </w:pPr>
            <w:r>
              <w:rPr>
                <w:rFonts w:ascii="Arial" w:cs="Arial" w:eastAsia="Arial" w:hAnsi="Arial"/>
                <w:sz w:val="22"/>
                <w:szCs w:val="22"/>
              </w:rPr>
              <w:t xml:space="preserve">💡  </w:t>
            </w:r>
            <w:r>
              <w:rPr>
                <w:rFonts w:ascii="Arial" w:cs="Arial" w:eastAsia="Arial" w:hAnsi="Arial"/>
                <w:b/>
                <w:bCs/>
                <w:color w:val="8A5200"/>
                <w:spacing w:val="6"/>
                <w:sz w:val="21"/>
                <w:szCs w:val="21"/>
              </w:rPr>
              <w:t xml:space="preserve">THE SIGNS THAT CLINCH IT</w:t>
            </w:r>
          </w:p>
          <w:p>
            <w:pPr>
              <w:spacing w:after="50"/>
            </w:pPr>
            <w:r>
              <w:rPr>
                <w:rFonts w:ascii="Arial" w:cs="Arial" w:eastAsia="Arial" w:hAnsi="Arial"/>
              </w:rPr>
              <w:t xml:space="preserve">Symptoms in the </w:t>
            </w:r>
            <w:r>
              <w:rPr>
                <w:rFonts w:ascii="Arial" w:cs="Arial" w:eastAsia="Arial" w:hAnsi="Arial"/>
                <w:b/>
                <w:bCs/>
                <w:color w:val="1A2230"/>
              </w:rPr>
              <w:t xml:space="preserve">thumb, index, middle and radial-half ring finger</w:t>
            </w:r>
            <w:r>
              <w:rPr>
                <w:rFonts w:ascii="Arial" w:cs="Arial" w:eastAsia="Arial" w:hAnsi="Arial"/>
              </w:rPr>
              <w:t xml:space="preserve"> (little finger spared), </w:t>
            </w:r>
            <w:r>
              <w:rPr>
                <w:rFonts w:ascii="Arial" w:cs="Arial" w:eastAsia="Arial" w:hAnsi="Arial"/>
                <w:b/>
                <w:bCs/>
                <w:color w:val="1A2230"/>
              </w:rPr>
              <w:t xml:space="preserve">worse at night,</w:t>
            </w:r>
            <w:r>
              <w:rPr>
                <w:rFonts w:ascii="Arial" w:cs="Arial" w:eastAsia="Arial" w:hAnsi="Arial"/>
              </w:rPr>
              <w:t xml:space="preserve"> relieved by </w:t>
            </w:r>
            <w:r>
              <w:rPr>
                <w:rFonts w:ascii="Arial" w:cs="Arial" w:eastAsia="Arial" w:hAnsi="Arial"/>
                <w:b/>
                <w:bCs/>
                <w:color w:val="1A2230"/>
              </w:rPr>
              <w:t xml:space="preserve">flicking the wrist.</w:t>
            </w:r>
            <w:r>
              <w:rPr>
                <w:rFonts w:ascii="Arial" w:cs="Arial" w:eastAsia="Arial" w:hAnsi="Arial"/>
              </w:rPr>
              <w:t xml:space="preserve"> Tinel’s and Phalen’s tests support the diagnosis, but a NEGATIVE test does not exclude it — the history matters most.</w:t>
            </w:r>
          </w:p>
        </w:tc>
      </w:tr>
    </w:tbl>
    <w:p>
      <w:pPr>
        <w:spacing w:after="60"/>
      </w:pPr>
      <w:r>
        <w:rPr>
          <w:rFonts w:ascii="Arial" w:cs="Arial" w:eastAsia="Arial" w:hAnsi="Arial"/>
        </w:rPr>
        <w:t xml:space="preserve"/>
      </w:r>
    </w:p>
    <w:p>
      <w:pPr>
        <w:keepNext/>
        <w:keepLines/>
        <w:pBdr>
          <w:top w:val="single" w:color="F7E2D3" w:sz="2" w:space="4"/>
          <w:left w:val="single" w:color="E2661A" w:sz="26" w:space="8"/>
          <w:bottom w:val="single" w:color="F7E2D3" w:sz="2" w:space="4"/>
          <w:right w:val="single" w:color="F7E2D3" w:sz="2" w:space="4"/>
        </w:pBdr>
        <w:shd w:fill="FCEFE6" w:color="auto" w:val="clear"/>
        <w:spacing w:after="120" w:before="260"/>
        <w:ind w:left="120"/>
      </w:pPr>
      <w:r>
        <w:rPr>
          <w:rFonts w:ascii="Arial" w:cs="Arial" w:eastAsia="Arial" w:hAnsi="Arial"/>
          <w:b/>
          <w:bCs/>
          <w:color w:val="1A2230"/>
          <w:sz w:val="26"/>
          <w:szCs w:val="26"/>
        </w:rPr>
        <w:t xml:space="preserve">Assessor’s feedback sheet</w:t>
      </w:r>
    </w:p>
    <w:p>
      <w:pPr>
        <w:spacing w:after="140"/>
      </w:pPr>
      <w:r>
        <w:rPr>
          <w:rFonts w:ascii="Arial" w:cs="Arial" w:eastAsia="Arial" w:hAnsi="Arial"/>
          <w:color w:val="283545"/>
          <w:sz w:val="22"/>
          <w:szCs w:val="22"/>
        </w:rPr>
        <w:t xml:space="preserve">Score each item: A = done satisfactorily  ·  B = attempted / partial  ·  C = not attempted.</w:t>
      </w:r>
    </w:p>
    <w:p>
      <w:pPr>
        <w:keepNext/>
        <w:spacing w:after="50" w:before="130"/>
      </w:pPr>
      <w:r>
        <w:rPr>
          <w:rFonts w:ascii="Arial" w:cs="Arial" w:eastAsia="Arial" w:hAnsi="Arial"/>
          <w:b/>
          <w:bCs/>
          <w:color w:val="1A2230"/>
          <w:sz w:val="21"/>
          <w:szCs w:val="21"/>
        </w:rPr>
        <w:t xml:space="preserve">Approach to the patient</w:t>
      </w:r>
    </w:p>
    <w:tbl>
      <w:tblPr>
        <w:tblW w:type="dxa" w:w="9746"/>
        <w:tblBorders>
          <w:top w:val="single" w:color="DBE1E8" w:sz="4"/>
          <w:left w:val="single" w:color="DBE1E8" w:sz="4"/>
          <w:bottom w:val="single" w:color="DBE1E8" w:sz="4"/>
          <w:right w:val="single" w:color="DBE1E8" w:sz="4"/>
          <w:insideH w:val="single" w:color="DBE1E8" w:sz="4"/>
          <w:insideV w:val="single" w:color="DBE1E8" w:sz="4"/>
        </w:tblBorders>
      </w:tblPr>
      <w:tblGrid>
        <w:gridCol w:w="7846"/>
        <w:gridCol w:w="1900"/>
      </w:tblGrid>
      <w:tr>
        <w:trPr>
          <w:cantSplit/>
          <w:tblHeader/>
        </w:trPr>
        <w:tc>
          <w:tcPr>
            <w:tcW w:type="dxa" w:w="7846"/>
            <w:tcBorders>
              <w:top w:val="single" w:color="DBE1E8" w:sz="4"/>
              <w:left w:val="single" w:color="DBE1E8" w:sz="4"/>
              <w:bottom w:val="single" w:color="DBE1E8" w:sz="4"/>
              <w:right w:val="single" w:color="DBE1E8" w:sz="4"/>
            </w:tcBorders>
            <w:shd w:fill="E2661A" w:color="auto" w:val="clear"/>
            <w:tcMar>
              <w:top w:type="dxa" w:w="70"/>
              <w:left w:type="dxa" w:w="130"/>
              <w:bottom w:type="dxa" w:w="70"/>
              <w:right w:type="dxa" w:w="110"/>
            </w:tcMar>
            <w:vAlign w:val="center"/>
          </w:tcPr>
          <w:p>
            <w:pPr>
              <w:spacing w:after="0"/>
              <w:jc w:val="left"/>
            </w:pPr>
            <w:r>
              <w:rPr>
                <w:rFonts w:ascii="Arial" w:cs="Arial" w:eastAsia="Arial" w:hAnsi="Arial"/>
                <w:b/>
                <w:bCs/>
                <w:color w:val="FFFFFF"/>
                <w:sz w:val="19"/>
                <w:szCs w:val="19"/>
              </w:rPr>
              <w:t xml:space="preserve">Item</w:t>
            </w:r>
          </w:p>
        </w:tc>
        <w:tc>
          <w:tcPr>
            <w:tcW w:type="dxa" w:w="1900"/>
            <w:tcBorders>
              <w:top w:val="single" w:color="DBE1E8" w:sz="4"/>
              <w:left w:val="single" w:color="DBE1E8" w:sz="4"/>
              <w:bottom w:val="single" w:color="DBE1E8" w:sz="4"/>
              <w:right w:val="single" w:color="DBE1E8" w:sz="4"/>
            </w:tcBorders>
            <w:shd w:fill="E2661A" w:color="auto" w:val="clear"/>
            <w:tcMar>
              <w:top w:type="dxa" w:w="70"/>
              <w:left w:type="dxa" w:w="130"/>
              <w:bottom w:type="dxa" w:w="70"/>
              <w:right w:type="dxa" w:w="110"/>
            </w:tcMar>
            <w:vAlign w:val="center"/>
          </w:tcPr>
          <w:p>
            <w:pPr>
              <w:spacing w:after="0"/>
              <w:jc w:val="left"/>
            </w:pPr>
            <w:r>
              <w:rPr>
                <w:rFonts w:ascii="Arial" w:cs="Arial" w:eastAsia="Arial" w:hAnsi="Arial"/>
                <w:b/>
                <w:bCs/>
                <w:color w:val="FFFFFF"/>
                <w:sz w:val="19"/>
                <w:szCs w:val="19"/>
              </w:rPr>
              <w:t xml:space="preserve">A / B / C</w:t>
            </w:r>
          </w:p>
        </w:tc>
      </w:tr>
      <w:tr>
        <w:trPr>
          <w:cantSplit/>
        </w:trPr>
        <w:tc>
          <w:tcPr>
            <w:tcW w:type="dxa" w:w="7846"/>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Introduces self; considerate, appropriate approach</w:t>
            </w:r>
          </w:p>
        </w:tc>
        <w:tc>
          <w:tcPr>
            <w:tcW w:type="dxa" w:w="1900"/>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
            </w:r>
          </w:p>
        </w:tc>
      </w:tr>
      <w:tr>
        <w:trPr>
          <w:cantSplit/>
        </w:trPr>
        <w:tc>
          <w:tcPr>
            <w:tcW w:type="dxa" w:w="7846"/>
            <w:tcBorders>
              <w:top w:val="single" w:color="DBE1E8" w:sz="4"/>
              <w:left w:val="single" w:color="DBE1E8" w:sz="4"/>
              <w:bottom w:val="single" w:color="DBE1E8" w:sz="4"/>
              <w:right w:val="single" w:color="DBE1E8" w:sz="4"/>
            </w:tcBorders>
            <w:shd w:fill="F4F6F9" w:color="auto" w:val="clear"/>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Clarifies the presenting symptoms</w:t>
            </w:r>
          </w:p>
        </w:tc>
        <w:tc>
          <w:tcPr>
            <w:tcW w:type="dxa" w:w="1900"/>
            <w:tcBorders>
              <w:top w:val="single" w:color="DBE1E8" w:sz="4"/>
              <w:left w:val="single" w:color="DBE1E8" w:sz="4"/>
              <w:bottom w:val="single" w:color="DBE1E8" w:sz="4"/>
              <w:right w:val="single" w:color="DBE1E8" w:sz="4"/>
            </w:tcBorders>
            <w:shd w:fill="F4F6F9" w:color="auto" w:val="clear"/>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
            </w:r>
          </w:p>
        </w:tc>
      </w:tr>
    </w:tbl>
    <w:p>
      <w:pPr>
        <w:keepNext/>
        <w:spacing w:after="50" w:before="130"/>
      </w:pPr>
      <w:r>
        <w:rPr>
          <w:rFonts w:ascii="Arial" w:cs="Arial" w:eastAsia="Arial" w:hAnsi="Arial"/>
          <w:b/>
          <w:bCs/>
          <w:color w:val="1A2230"/>
          <w:sz w:val="21"/>
          <w:szCs w:val="21"/>
        </w:rPr>
        <w:t xml:space="preserve">History — asks about</w:t>
      </w:r>
    </w:p>
    <w:tbl>
      <w:tblPr>
        <w:tblW w:type="dxa" w:w="9746"/>
        <w:tblBorders>
          <w:top w:val="single" w:color="DBE1E8" w:sz="4"/>
          <w:left w:val="single" w:color="DBE1E8" w:sz="4"/>
          <w:bottom w:val="single" w:color="DBE1E8" w:sz="4"/>
          <w:right w:val="single" w:color="DBE1E8" w:sz="4"/>
          <w:insideH w:val="single" w:color="DBE1E8" w:sz="4"/>
          <w:insideV w:val="single" w:color="DBE1E8" w:sz="4"/>
        </w:tblBorders>
      </w:tblPr>
      <w:tblGrid>
        <w:gridCol w:w="7846"/>
        <w:gridCol w:w="1900"/>
      </w:tblGrid>
      <w:tr>
        <w:trPr>
          <w:cantSplit/>
          <w:tblHeader/>
        </w:trPr>
        <w:tc>
          <w:tcPr>
            <w:tcW w:type="dxa" w:w="7846"/>
            <w:tcBorders>
              <w:top w:val="single" w:color="DBE1E8" w:sz="4"/>
              <w:left w:val="single" w:color="DBE1E8" w:sz="4"/>
              <w:bottom w:val="single" w:color="DBE1E8" w:sz="4"/>
              <w:right w:val="single" w:color="DBE1E8" w:sz="4"/>
            </w:tcBorders>
            <w:shd w:fill="E2661A" w:color="auto" w:val="clear"/>
            <w:tcMar>
              <w:top w:type="dxa" w:w="70"/>
              <w:left w:type="dxa" w:w="130"/>
              <w:bottom w:type="dxa" w:w="70"/>
              <w:right w:type="dxa" w:w="110"/>
            </w:tcMar>
            <w:vAlign w:val="center"/>
          </w:tcPr>
          <w:p>
            <w:pPr>
              <w:spacing w:after="0"/>
              <w:jc w:val="left"/>
            </w:pPr>
            <w:r>
              <w:rPr>
                <w:rFonts w:ascii="Arial" w:cs="Arial" w:eastAsia="Arial" w:hAnsi="Arial"/>
                <w:b/>
                <w:bCs/>
                <w:color w:val="FFFFFF"/>
                <w:sz w:val="19"/>
                <w:szCs w:val="19"/>
              </w:rPr>
              <w:t xml:space="preserve">Item</w:t>
            </w:r>
          </w:p>
        </w:tc>
        <w:tc>
          <w:tcPr>
            <w:tcW w:type="dxa" w:w="1900"/>
            <w:tcBorders>
              <w:top w:val="single" w:color="DBE1E8" w:sz="4"/>
              <w:left w:val="single" w:color="DBE1E8" w:sz="4"/>
              <w:bottom w:val="single" w:color="DBE1E8" w:sz="4"/>
              <w:right w:val="single" w:color="DBE1E8" w:sz="4"/>
            </w:tcBorders>
            <w:shd w:fill="E2661A" w:color="auto" w:val="clear"/>
            <w:tcMar>
              <w:top w:type="dxa" w:w="70"/>
              <w:left w:type="dxa" w:w="130"/>
              <w:bottom w:type="dxa" w:w="70"/>
              <w:right w:type="dxa" w:w="110"/>
            </w:tcMar>
            <w:vAlign w:val="center"/>
          </w:tcPr>
          <w:p>
            <w:pPr>
              <w:spacing w:after="0"/>
              <w:jc w:val="left"/>
            </w:pPr>
            <w:r>
              <w:rPr>
                <w:rFonts w:ascii="Arial" w:cs="Arial" w:eastAsia="Arial" w:hAnsi="Arial"/>
                <w:b/>
                <w:bCs/>
                <w:color w:val="FFFFFF"/>
                <w:sz w:val="19"/>
                <w:szCs w:val="19"/>
              </w:rPr>
              <w:t xml:space="preserve">A / B / C</w:t>
            </w:r>
          </w:p>
        </w:tc>
      </w:tr>
      <w:tr>
        <w:trPr>
          <w:cantSplit/>
        </w:trPr>
        <w:tc>
          <w:tcPr>
            <w:tcW w:type="dxa" w:w="7846"/>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Type of symptom: pain, paraesthesiae, numbness, weakness</w:t>
            </w:r>
          </w:p>
        </w:tc>
        <w:tc>
          <w:tcPr>
            <w:tcW w:type="dxa" w:w="1900"/>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
            </w:r>
          </w:p>
        </w:tc>
      </w:tr>
      <w:tr>
        <w:trPr>
          <w:cantSplit/>
        </w:trPr>
        <w:tc>
          <w:tcPr>
            <w:tcW w:type="dxa" w:w="7846"/>
            <w:tcBorders>
              <w:top w:val="single" w:color="DBE1E8" w:sz="4"/>
              <w:left w:val="single" w:color="DBE1E8" w:sz="4"/>
              <w:bottom w:val="single" w:color="DBE1E8" w:sz="4"/>
              <w:right w:val="single" w:color="DBE1E8" w:sz="4"/>
            </w:tcBorders>
            <w:shd w:fill="F4F6F9" w:color="auto" w:val="clear"/>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Distribution of symptoms (median territory)</w:t>
            </w:r>
          </w:p>
        </w:tc>
        <w:tc>
          <w:tcPr>
            <w:tcW w:type="dxa" w:w="1900"/>
            <w:tcBorders>
              <w:top w:val="single" w:color="DBE1E8" w:sz="4"/>
              <w:left w:val="single" w:color="DBE1E8" w:sz="4"/>
              <w:bottom w:val="single" w:color="DBE1E8" w:sz="4"/>
              <w:right w:val="single" w:color="DBE1E8" w:sz="4"/>
            </w:tcBorders>
            <w:shd w:fill="F4F6F9" w:color="auto" w:val="clear"/>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
            </w:r>
          </w:p>
        </w:tc>
      </w:tr>
      <w:tr>
        <w:trPr>
          <w:cantSplit/>
        </w:trPr>
        <w:tc>
          <w:tcPr>
            <w:tcW w:type="dxa" w:w="7846"/>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Timing — day and night symptoms</w:t>
            </w:r>
          </w:p>
        </w:tc>
        <w:tc>
          <w:tcPr>
            <w:tcW w:type="dxa" w:w="1900"/>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
            </w:r>
          </w:p>
        </w:tc>
      </w:tr>
      <w:tr>
        <w:trPr>
          <w:cantSplit/>
        </w:trPr>
        <w:tc>
          <w:tcPr>
            <w:tcW w:type="dxa" w:w="7846"/>
            <w:tcBorders>
              <w:top w:val="single" w:color="DBE1E8" w:sz="4"/>
              <w:left w:val="single" w:color="DBE1E8" w:sz="4"/>
              <w:bottom w:val="single" w:color="DBE1E8" w:sz="4"/>
              <w:right w:val="single" w:color="DBE1E8" w:sz="4"/>
            </w:tcBorders>
            <w:shd w:fill="F4F6F9" w:color="auto" w:val="clear"/>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Occupation</w:t>
            </w:r>
          </w:p>
        </w:tc>
        <w:tc>
          <w:tcPr>
            <w:tcW w:type="dxa" w:w="1900"/>
            <w:tcBorders>
              <w:top w:val="single" w:color="DBE1E8" w:sz="4"/>
              <w:left w:val="single" w:color="DBE1E8" w:sz="4"/>
              <w:bottom w:val="single" w:color="DBE1E8" w:sz="4"/>
              <w:right w:val="single" w:color="DBE1E8" w:sz="4"/>
            </w:tcBorders>
            <w:shd w:fill="F4F6F9" w:color="auto" w:val="clear"/>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
            </w:r>
          </w:p>
        </w:tc>
      </w:tr>
      <w:tr>
        <w:trPr>
          <w:cantSplit/>
        </w:trPr>
        <w:tc>
          <w:tcPr>
            <w:tcW w:type="dxa" w:w="7846"/>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Hobbies and other activities</w:t>
            </w:r>
          </w:p>
        </w:tc>
        <w:tc>
          <w:tcPr>
            <w:tcW w:type="dxa" w:w="1900"/>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
            </w:r>
          </w:p>
        </w:tc>
      </w:tr>
      <w:tr>
        <w:trPr>
          <w:cantSplit/>
        </w:trPr>
        <w:tc>
          <w:tcPr>
            <w:tcW w:type="dxa" w:w="7846"/>
            <w:tcBorders>
              <w:top w:val="single" w:color="DBE1E8" w:sz="4"/>
              <w:left w:val="single" w:color="DBE1E8" w:sz="4"/>
              <w:bottom w:val="single" w:color="DBE1E8" w:sz="4"/>
              <w:right w:val="single" w:color="DBE1E8" w:sz="4"/>
            </w:tcBorders>
            <w:shd w:fill="F4F6F9" w:color="auto" w:val="clear"/>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General health — thyroid, pregnancy, diabetes</w:t>
            </w:r>
          </w:p>
        </w:tc>
        <w:tc>
          <w:tcPr>
            <w:tcW w:type="dxa" w:w="1900"/>
            <w:tcBorders>
              <w:top w:val="single" w:color="DBE1E8" w:sz="4"/>
              <w:left w:val="single" w:color="DBE1E8" w:sz="4"/>
              <w:bottom w:val="single" w:color="DBE1E8" w:sz="4"/>
              <w:right w:val="single" w:color="DBE1E8" w:sz="4"/>
            </w:tcBorders>
            <w:shd w:fill="F4F6F9" w:color="auto" w:val="clear"/>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
            </w:r>
          </w:p>
        </w:tc>
      </w:tr>
    </w:tbl>
    <w:p>
      <w:pPr>
        <w:keepNext/>
        <w:spacing w:after="50" w:before="130"/>
      </w:pPr>
      <w:r>
        <w:rPr>
          <w:rFonts w:ascii="Arial" w:cs="Arial" w:eastAsia="Arial" w:hAnsi="Arial"/>
          <w:b/>
          <w:bCs/>
          <w:color w:val="1A2230"/>
          <w:sz w:val="21"/>
          <w:szCs w:val="21"/>
        </w:rPr>
        <w:t xml:space="preserve">Examination</w:t>
      </w:r>
    </w:p>
    <w:tbl>
      <w:tblPr>
        <w:tblW w:type="dxa" w:w="9746"/>
        <w:tblBorders>
          <w:top w:val="single" w:color="DBE1E8" w:sz="4"/>
          <w:left w:val="single" w:color="DBE1E8" w:sz="4"/>
          <w:bottom w:val="single" w:color="DBE1E8" w:sz="4"/>
          <w:right w:val="single" w:color="DBE1E8" w:sz="4"/>
          <w:insideH w:val="single" w:color="DBE1E8" w:sz="4"/>
          <w:insideV w:val="single" w:color="DBE1E8" w:sz="4"/>
        </w:tblBorders>
      </w:tblPr>
      <w:tblGrid>
        <w:gridCol w:w="7846"/>
        <w:gridCol w:w="1900"/>
      </w:tblGrid>
      <w:tr>
        <w:trPr>
          <w:cantSplit/>
          <w:tblHeader/>
        </w:trPr>
        <w:tc>
          <w:tcPr>
            <w:tcW w:type="dxa" w:w="7846"/>
            <w:tcBorders>
              <w:top w:val="single" w:color="DBE1E8" w:sz="4"/>
              <w:left w:val="single" w:color="DBE1E8" w:sz="4"/>
              <w:bottom w:val="single" w:color="DBE1E8" w:sz="4"/>
              <w:right w:val="single" w:color="DBE1E8" w:sz="4"/>
            </w:tcBorders>
            <w:shd w:fill="E2661A" w:color="auto" w:val="clear"/>
            <w:tcMar>
              <w:top w:type="dxa" w:w="70"/>
              <w:left w:type="dxa" w:w="130"/>
              <w:bottom w:type="dxa" w:w="70"/>
              <w:right w:type="dxa" w:w="110"/>
            </w:tcMar>
            <w:vAlign w:val="center"/>
          </w:tcPr>
          <w:p>
            <w:pPr>
              <w:spacing w:after="0"/>
              <w:jc w:val="left"/>
            </w:pPr>
            <w:r>
              <w:rPr>
                <w:rFonts w:ascii="Arial" w:cs="Arial" w:eastAsia="Arial" w:hAnsi="Arial"/>
                <w:b/>
                <w:bCs/>
                <w:color w:val="FFFFFF"/>
                <w:sz w:val="19"/>
                <w:szCs w:val="19"/>
              </w:rPr>
              <w:t xml:space="preserve">Item</w:t>
            </w:r>
          </w:p>
        </w:tc>
        <w:tc>
          <w:tcPr>
            <w:tcW w:type="dxa" w:w="1900"/>
            <w:tcBorders>
              <w:top w:val="single" w:color="DBE1E8" w:sz="4"/>
              <w:left w:val="single" w:color="DBE1E8" w:sz="4"/>
              <w:bottom w:val="single" w:color="DBE1E8" w:sz="4"/>
              <w:right w:val="single" w:color="DBE1E8" w:sz="4"/>
            </w:tcBorders>
            <w:shd w:fill="E2661A" w:color="auto" w:val="clear"/>
            <w:tcMar>
              <w:top w:type="dxa" w:w="70"/>
              <w:left w:type="dxa" w:w="130"/>
              <w:bottom w:type="dxa" w:w="70"/>
              <w:right w:type="dxa" w:w="110"/>
            </w:tcMar>
            <w:vAlign w:val="center"/>
          </w:tcPr>
          <w:p>
            <w:pPr>
              <w:spacing w:after="0"/>
              <w:jc w:val="left"/>
            </w:pPr>
            <w:r>
              <w:rPr>
                <w:rFonts w:ascii="Arial" w:cs="Arial" w:eastAsia="Arial" w:hAnsi="Arial"/>
                <w:b/>
                <w:bCs/>
                <w:color w:val="FFFFFF"/>
                <w:sz w:val="19"/>
                <w:szCs w:val="19"/>
              </w:rPr>
              <w:t xml:space="preserve">A / B / C</w:t>
            </w:r>
          </w:p>
        </w:tc>
      </w:tr>
      <w:tr>
        <w:trPr>
          <w:cantSplit/>
        </w:trPr>
        <w:tc>
          <w:tcPr>
            <w:tcW w:type="dxa" w:w="7846"/>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Looks for deformity / thenar wasting</w:t>
            </w:r>
          </w:p>
        </w:tc>
        <w:tc>
          <w:tcPr>
            <w:tcW w:type="dxa" w:w="1900"/>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
            </w:r>
          </w:p>
        </w:tc>
      </w:tr>
      <w:tr>
        <w:trPr>
          <w:cantSplit/>
        </w:trPr>
        <w:tc>
          <w:tcPr>
            <w:tcW w:type="dxa" w:w="7846"/>
            <w:tcBorders>
              <w:top w:val="single" w:color="DBE1E8" w:sz="4"/>
              <w:left w:val="single" w:color="DBE1E8" w:sz="4"/>
              <w:bottom w:val="single" w:color="DBE1E8" w:sz="4"/>
              <w:right w:val="single" w:color="DBE1E8" w:sz="4"/>
            </w:tcBorders>
            <w:shd w:fill="F4F6F9" w:color="auto" w:val="clear"/>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Wrist active and passive range of movement</w:t>
            </w:r>
          </w:p>
        </w:tc>
        <w:tc>
          <w:tcPr>
            <w:tcW w:type="dxa" w:w="1900"/>
            <w:tcBorders>
              <w:top w:val="single" w:color="DBE1E8" w:sz="4"/>
              <w:left w:val="single" w:color="DBE1E8" w:sz="4"/>
              <w:bottom w:val="single" w:color="DBE1E8" w:sz="4"/>
              <w:right w:val="single" w:color="DBE1E8" w:sz="4"/>
            </w:tcBorders>
            <w:shd w:fill="F4F6F9" w:color="auto" w:val="clear"/>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
            </w:r>
          </w:p>
        </w:tc>
      </w:tr>
      <w:tr>
        <w:trPr>
          <w:cantSplit/>
        </w:trPr>
        <w:tc>
          <w:tcPr>
            <w:tcW w:type="dxa" w:w="7846"/>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Thumb abduction and opposition strength</w:t>
            </w:r>
          </w:p>
        </w:tc>
        <w:tc>
          <w:tcPr>
            <w:tcW w:type="dxa" w:w="1900"/>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
            </w:r>
          </w:p>
        </w:tc>
      </w:tr>
      <w:tr>
        <w:trPr>
          <w:cantSplit/>
        </w:trPr>
        <w:tc>
          <w:tcPr>
            <w:tcW w:type="dxa" w:w="7846"/>
            <w:tcBorders>
              <w:top w:val="single" w:color="DBE1E8" w:sz="4"/>
              <w:left w:val="single" w:color="DBE1E8" w:sz="4"/>
              <w:bottom w:val="single" w:color="DBE1E8" w:sz="4"/>
              <w:right w:val="single" w:color="DBE1E8" w:sz="4"/>
            </w:tcBorders>
            <w:shd w:fill="F4F6F9" w:color="auto" w:val="clear"/>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Tests sensation in the digits</w:t>
            </w:r>
          </w:p>
        </w:tc>
        <w:tc>
          <w:tcPr>
            <w:tcW w:type="dxa" w:w="1900"/>
            <w:tcBorders>
              <w:top w:val="single" w:color="DBE1E8" w:sz="4"/>
              <w:left w:val="single" w:color="DBE1E8" w:sz="4"/>
              <w:bottom w:val="single" w:color="DBE1E8" w:sz="4"/>
              <w:right w:val="single" w:color="DBE1E8" w:sz="4"/>
            </w:tcBorders>
            <w:shd w:fill="F4F6F9" w:color="auto" w:val="clear"/>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
            </w:r>
          </w:p>
        </w:tc>
      </w:tr>
      <w:tr>
        <w:trPr>
          <w:cantSplit/>
        </w:trPr>
        <w:tc>
          <w:tcPr>
            <w:tcW w:type="dxa" w:w="7846"/>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Tinel’s test</w:t>
            </w:r>
          </w:p>
        </w:tc>
        <w:tc>
          <w:tcPr>
            <w:tcW w:type="dxa" w:w="1900"/>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
            </w:r>
          </w:p>
        </w:tc>
      </w:tr>
      <w:tr>
        <w:trPr>
          <w:cantSplit/>
        </w:trPr>
        <w:tc>
          <w:tcPr>
            <w:tcW w:type="dxa" w:w="7846"/>
            <w:tcBorders>
              <w:top w:val="single" w:color="DBE1E8" w:sz="4"/>
              <w:left w:val="single" w:color="DBE1E8" w:sz="4"/>
              <w:bottom w:val="single" w:color="DBE1E8" w:sz="4"/>
              <w:right w:val="single" w:color="DBE1E8" w:sz="4"/>
            </w:tcBorders>
            <w:shd w:fill="F4F6F9" w:color="auto" w:val="clear"/>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Phalen’s test</w:t>
            </w:r>
          </w:p>
        </w:tc>
        <w:tc>
          <w:tcPr>
            <w:tcW w:type="dxa" w:w="1900"/>
            <w:tcBorders>
              <w:top w:val="single" w:color="DBE1E8" w:sz="4"/>
              <w:left w:val="single" w:color="DBE1E8" w:sz="4"/>
              <w:bottom w:val="single" w:color="DBE1E8" w:sz="4"/>
              <w:right w:val="single" w:color="DBE1E8" w:sz="4"/>
            </w:tcBorders>
            <w:shd w:fill="F4F6F9" w:color="auto" w:val="clear"/>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
            </w:r>
          </w:p>
        </w:tc>
      </w:tr>
      <w:tr>
        <w:trPr>
          <w:cantSplit/>
        </w:trPr>
        <w:tc>
          <w:tcPr>
            <w:tcW w:type="dxa" w:w="7846"/>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Examines the neck / considers other sites of compression</w:t>
            </w:r>
          </w:p>
        </w:tc>
        <w:tc>
          <w:tcPr>
            <w:tcW w:type="dxa" w:w="1900"/>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
            </w:r>
          </w:p>
        </w:tc>
      </w:tr>
    </w:tbl>
    <w:p>
      <w:pPr>
        <w:keepNext/>
        <w:spacing w:after="50" w:before="130"/>
      </w:pPr>
      <w:r>
        <w:rPr>
          <w:rFonts w:ascii="Arial" w:cs="Arial" w:eastAsia="Arial" w:hAnsi="Arial"/>
          <w:b/>
          <w:bCs/>
          <w:color w:val="1A2230"/>
          <w:sz w:val="21"/>
          <w:szCs w:val="21"/>
        </w:rPr>
        <w:t xml:space="preserve">Discusses management options</w:t>
      </w:r>
    </w:p>
    <w:tbl>
      <w:tblPr>
        <w:tblW w:type="dxa" w:w="9746"/>
        <w:tblBorders>
          <w:top w:val="single" w:color="DBE1E8" w:sz="4"/>
          <w:left w:val="single" w:color="DBE1E8" w:sz="4"/>
          <w:bottom w:val="single" w:color="DBE1E8" w:sz="4"/>
          <w:right w:val="single" w:color="DBE1E8" w:sz="4"/>
          <w:insideH w:val="single" w:color="DBE1E8" w:sz="4"/>
          <w:insideV w:val="single" w:color="DBE1E8" w:sz="4"/>
        </w:tblBorders>
      </w:tblPr>
      <w:tblGrid>
        <w:gridCol w:w="7846"/>
        <w:gridCol w:w="1900"/>
      </w:tblGrid>
      <w:tr>
        <w:trPr>
          <w:cantSplit/>
          <w:tblHeader/>
        </w:trPr>
        <w:tc>
          <w:tcPr>
            <w:tcW w:type="dxa" w:w="7846"/>
            <w:tcBorders>
              <w:top w:val="single" w:color="DBE1E8" w:sz="4"/>
              <w:left w:val="single" w:color="DBE1E8" w:sz="4"/>
              <w:bottom w:val="single" w:color="DBE1E8" w:sz="4"/>
              <w:right w:val="single" w:color="DBE1E8" w:sz="4"/>
            </w:tcBorders>
            <w:shd w:fill="E2661A" w:color="auto" w:val="clear"/>
            <w:tcMar>
              <w:top w:type="dxa" w:w="70"/>
              <w:left w:type="dxa" w:w="130"/>
              <w:bottom w:type="dxa" w:w="70"/>
              <w:right w:type="dxa" w:w="110"/>
            </w:tcMar>
            <w:vAlign w:val="center"/>
          </w:tcPr>
          <w:p>
            <w:pPr>
              <w:spacing w:after="0"/>
              <w:jc w:val="left"/>
            </w:pPr>
            <w:r>
              <w:rPr>
                <w:rFonts w:ascii="Arial" w:cs="Arial" w:eastAsia="Arial" w:hAnsi="Arial"/>
                <w:b/>
                <w:bCs/>
                <w:color w:val="FFFFFF"/>
                <w:sz w:val="19"/>
                <w:szCs w:val="19"/>
              </w:rPr>
              <w:t xml:space="preserve">Item</w:t>
            </w:r>
          </w:p>
        </w:tc>
        <w:tc>
          <w:tcPr>
            <w:tcW w:type="dxa" w:w="1900"/>
            <w:tcBorders>
              <w:top w:val="single" w:color="DBE1E8" w:sz="4"/>
              <w:left w:val="single" w:color="DBE1E8" w:sz="4"/>
              <w:bottom w:val="single" w:color="DBE1E8" w:sz="4"/>
              <w:right w:val="single" w:color="DBE1E8" w:sz="4"/>
            </w:tcBorders>
            <w:shd w:fill="E2661A" w:color="auto" w:val="clear"/>
            <w:tcMar>
              <w:top w:type="dxa" w:w="70"/>
              <w:left w:type="dxa" w:w="130"/>
              <w:bottom w:type="dxa" w:w="70"/>
              <w:right w:type="dxa" w:w="110"/>
            </w:tcMar>
            <w:vAlign w:val="center"/>
          </w:tcPr>
          <w:p>
            <w:pPr>
              <w:spacing w:after="0"/>
              <w:jc w:val="left"/>
            </w:pPr>
            <w:r>
              <w:rPr>
                <w:rFonts w:ascii="Arial" w:cs="Arial" w:eastAsia="Arial" w:hAnsi="Arial"/>
                <w:b/>
                <w:bCs/>
                <w:color w:val="FFFFFF"/>
                <w:sz w:val="19"/>
                <w:szCs w:val="19"/>
              </w:rPr>
              <w:t xml:space="preserve">A / B / C</w:t>
            </w:r>
          </w:p>
        </w:tc>
      </w:tr>
      <w:tr>
        <w:trPr>
          <w:cantSplit/>
        </w:trPr>
        <w:tc>
          <w:tcPr>
            <w:tcW w:type="dxa" w:w="7846"/>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Watchful waiting / treat any underlying cause</w:t>
            </w:r>
          </w:p>
        </w:tc>
        <w:tc>
          <w:tcPr>
            <w:tcW w:type="dxa" w:w="1900"/>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
            </w:r>
          </w:p>
        </w:tc>
      </w:tr>
      <w:tr>
        <w:trPr>
          <w:cantSplit/>
        </w:trPr>
        <w:tc>
          <w:tcPr>
            <w:tcW w:type="dxa" w:w="7846"/>
            <w:tcBorders>
              <w:top w:val="single" w:color="DBE1E8" w:sz="4"/>
              <w:left w:val="single" w:color="DBE1E8" w:sz="4"/>
              <w:bottom w:val="single" w:color="DBE1E8" w:sz="4"/>
              <w:right w:val="single" w:color="DBE1E8" w:sz="4"/>
            </w:tcBorders>
            <w:shd w:fill="F4F6F9" w:color="auto" w:val="clear"/>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Night wrist splint</w:t>
            </w:r>
          </w:p>
        </w:tc>
        <w:tc>
          <w:tcPr>
            <w:tcW w:type="dxa" w:w="1900"/>
            <w:tcBorders>
              <w:top w:val="single" w:color="DBE1E8" w:sz="4"/>
              <w:left w:val="single" w:color="DBE1E8" w:sz="4"/>
              <w:bottom w:val="single" w:color="DBE1E8" w:sz="4"/>
              <w:right w:val="single" w:color="DBE1E8" w:sz="4"/>
            </w:tcBorders>
            <w:shd w:fill="F4F6F9" w:color="auto" w:val="clear"/>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
            </w:r>
          </w:p>
        </w:tc>
      </w:tr>
      <w:tr>
        <w:trPr>
          <w:cantSplit/>
        </w:trPr>
        <w:tc>
          <w:tcPr>
            <w:tcW w:type="dxa" w:w="7846"/>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Corticosteroid injection</w:t>
            </w:r>
          </w:p>
        </w:tc>
        <w:tc>
          <w:tcPr>
            <w:tcW w:type="dxa" w:w="1900"/>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
            </w:r>
          </w:p>
        </w:tc>
      </w:tr>
      <w:tr>
        <w:trPr>
          <w:cantSplit/>
        </w:trPr>
        <w:tc>
          <w:tcPr>
            <w:tcW w:type="dxa" w:w="7846"/>
            <w:tcBorders>
              <w:top w:val="single" w:color="DBE1E8" w:sz="4"/>
              <w:left w:val="single" w:color="DBE1E8" w:sz="4"/>
              <w:bottom w:val="single" w:color="DBE1E8" w:sz="4"/>
              <w:right w:val="single" w:color="DBE1E8" w:sz="4"/>
            </w:tcBorders>
            <w:shd w:fill="F4F6F9" w:color="auto" w:val="clear"/>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Referral for surgery (decompression) — and its urgent indications</w:t>
            </w:r>
          </w:p>
        </w:tc>
        <w:tc>
          <w:tcPr>
            <w:tcW w:type="dxa" w:w="1900"/>
            <w:tcBorders>
              <w:top w:val="single" w:color="DBE1E8" w:sz="4"/>
              <w:left w:val="single" w:color="DBE1E8" w:sz="4"/>
              <w:bottom w:val="single" w:color="DBE1E8" w:sz="4"/>
              <w:right w:val="single" w:color="DBE1E8" w:sz="4"/>
            </w:tcBorders>
            <w:shd w:fill="F4F6F9" w:color="auto" w:val="clear"/>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
            </w:r>
          </w:p>
        </w:tc>
      </w:tr>
    </w:tbl>
    <w:p>
      <w:pPr>
        <w:spacing w:after="80"/>
      </w:pPr>
      <w:r>
        <w:rPr>
          <w:rFonts w:ascii="Arial" w:cs="Arial" w:eastAsia="Arial" w:hAnsi="Arial"/>
        </w:rPr>
        <w:t xml:space="preserve"/>
      </w:r>
    </w:p>
    <w:p>
      <w:pPr>
        <w:keepNext/>
        <w:keepLines/>
        <w:pBdr>
          <w:top w:val="single" w:color="F7E2D3" w:sz="2" w:space="4"/>
          <w:left w:val="single" w:color="E2661A" w:sz="26" w:space="8"/>
          <w:bottom w:val="single" w:color="F7E2D3" w:sz="2" w:space="4"/>
          <w:right w:val="single" w:color="F7E2D3" w:sz="2" w:space="4"/>
        </w:pBdr>
        <w:shd w:fill="FCEFE6" w:color="auto" w:val="clear"/>
        <w:spacing w:after="120" w:before="260"/>
        <w:ind w:left="120"/>
      </w:pPr>
      <w:r>
        <w:rPr>
          <w:rFonts w:ascii="Arial" w:cs="Arial" w:eastAsia="Arial" w:hAnsi="Arial"/>
          <w:b/>
          <w:bCs/>
          <w:color w:val="1A2230"/>
          <w:sz w:val="26"/>
          <w:szCs w:val="26"/>
        </w:rPr>
        <w:t xml:space="preserve">Clinical commentary</w:t>
      </w:r>
    </w:p>
    <w:p>
      <w:pPr>
        <w:spacing w:after="120"/>
        <w:jc w:val="left"/>
      </w:pPr>
      <w:r>
        <w:rPr>
          <w:rFonts w:ascii="Arial" w:cs="Arial" w:eastAsia="Arial" w:hAnsi="Arial"/>
        </w:rPr>
        <w:t xml:space="preserve">Carpal tunnel syndrome is compression of the median nerve as it passes through the wrist. The diagnosis is </w:t>
      </w:r>
      <w:r>
        <w:rPr>
          <w:rFonts w:ascii="Arial" w:cs="Arial" w:eastAsia="Arial" w:hAnsi="Arial"/>
          <w:b/>
          <w:bCs/>
          <w:color w:val="1A2230"/>
        </w:rPr>
        <w:t xml:space="preserve">clinical</w:t>
      </w:r>
      <w:r>
        <w:rPr>
          <w:rFonts w:ascii="Arial" w:cs="Arial" w:eastAsia="Arial" w:hAnsi="Arial"/>
        </w:rPr>
        <w:t xml:space="preserve"> — a typical history with a positive Tinel’s or Phalen’s test is enough, but negative provocation tests do NOT rule it out.</w:t>
      </w:r>
    </w:p>
    <w:p>
      <w:pPr>
        <w:spacing w:after="120"/>
        <w:jc w:val="left"/>
      </w:pPr>
      <w:r>
        <w:rPr>
          <w:rFonts w:ascii="Arial" w:cs="Arial" w:eastAsia="Arial" w:hAnsi="Arial"/>
        </w:rPr>
        <w:t xml:space="preserve">Most cases are idiopathic. Look for the treatable associations: </w:t>
      </w:r>
      <w:r>
        <w:rPr>
          <w:rFonts w:ascii="Arial" w:cs="Arial" w:eastAsia="Arial" w:hAnsi="Arial"/>
          <w:b/>
          <w:bCs/>
          <w:color w:val="1A2230"/>
        </w:rPr>
        <w:t xml:space="preserve">pregnancy, hypothyroidism, diabetes, rheumatoid arthritis and obesity.</w:t>
      </w:r>
      <w:r>
        <w:rPr>
          <w:rFonts w:ascii="Arial" w:cs="Arial" w:eastAsia="Arial" w:hAnsi="Arial"/>
        </w:rPr>
        <w:t xml:space="preserve"> Occupation and hobbies (sustained gripping, vibration, leaning on the wrist) are relevant, and the condition is often bilateral, sometimes with a gap between the two sides.</w:t>
      </w:r>
    </w:p>
    <w:p>
      <w:pPr>
        <w:spacing w:after="120"/>
        <w:jc w:val="left"/>
      </w:pPr>
      <w:r>
        <w:rPr>
          <w:rFonts w:ascii="Arial" w:cs="Arial" w:eastAsia="Arial" w:hAnsi="Arial"/>
        </w:rPr>
        <w:t xml:space="preserve">Nerve conduction studies are not needed in a typical case. Reserve them for an </w:t>
      </w:r>
      <w:r>
        <w:rPr>
          <w:rFonts w:ascii="Arial" w:cs="Arial" w:eastAsia="Arial" w:hAnsi="Arial"/>
          <w:b/>
          <w:bCs/>
          <w:color w:val="1A2230"/>
        </w:rPr>
        <w:t xml:space="preserve">atypical or uncertain picture,</w:t>
      </w:r>
      <w:r>
        <w:rPr>
          <w:rFonts w:ascii="Arial" w:cs="Arial" w:eastAsia="Arial" w:hAnsi="Arial"/>
        </w:rPr>
        <w:t xml:space="preserve"> or when surgery is being planned.</w:t>
      </w:r>
    </w:p>
    <w:tbl>
      <w:tblPr>
        <w:tblW w:type="dxa" w:w="9746"/>
        <w:tblBorders>
          <w:top w:val="none" w:color="FFFFFF" w:sz="0"/>
          <w:left w:val="none" w:color="FFFFFF" w:sz="0"/>
          <w:bottom w:val="none" w:color="FFFFFF" w:sz="0"/>
          <w:right w:val="none" w:color="FFFFFF" w:sz="0"/>
          <w:insideH w:val="none" w:color="FFFFFF" w:sz="0"/>
          <w:insideV w:val="none" w:color="FFFFFF" w:sz="0"/>
        </w:tblBorders>
      </w:tblPr>
      <w:tblGrid>
        <w:gridCol w:w="70"/>
        <w:gridCol w:w="9676"/>
      </w:tblGrid>
      <w:tr>
        <w:trPr>
          <w:cantSplit/>
        </w:trPr>
        <w:tc>
          <w:tcPr>
            <w:tcW w:type="dxa" w:w="70"/>
            <w:tcBorders>
              <w:top w:val="none" w:color="FFFFFF" w:sz="0"/>
              <w:left w:val="none" w:color="FFFFFF" w:sz="0"/>
              <w:bottom w:val="none" w:color="FFFFFF" w:sz="0"/>
              <w:right w:val="none" w:color="FFFFFF" w:sz="0"/>
            </w:tcBorders>
            <w:shd w:fill="2E8B57" w:color="auto" w:val="clear"/>
            <w:tcMar>
              <w:top w:type="dxa" w:w="0"/>
              <w:left w:type="dxa" w:w="0"/>
              <w:bottom w:type="dxa" w:w="0"/>
              <w:right w:type="dxa" w:w="0"/>
            </w:tcMar>
          </w:tcPr>
          <w:p>
            <w:r>
              <w:rPr>
                <w:rFonts w:ascii="Arial" w:cs="Arial" w:eastAsia="Arial" w:hAnsi="Arial"/>
              </w:rPr>
              <w:t xml:space="preserve"/>
            </w:r>
          </w:p>
        </w:tc>
        <w:tc>
          <w:tcPr>
            <w:tcW w:type="dxa" w:w="9676"/>
            <w:tcBorders>
              <w:top w:val="none" w:color="FFFFFF" w:sz="0"/>
              <w:left w:val="none" w:color="FFFFFF" w:sz="0"/>
              <w:bottom w:val="none" w:color="FFFFFF" w:sz="0"/>
              <w:right w:val="none" w:color="FFFFFF" w:sz="0"/>
            </w:tcBorders>
            <w:shd w:fill="ECF7EE" w:color="auto" w:val="clear"/>
            <w:tcMar>
              <w:top w:type="dxa" w:w="130"/>
              <w:left w:type="dxa" w:w="200"/>
              <w:bottom w:type="dxa" w:w="130"/>
              <w:right w:type="dxa" w:w="180"/>
            </w:tcMar>
          </w:tcPr>
          <w:p>
            <w:pPr>
              <w:spacing w:after="70"/>
            </w:pPr>
            <w:r>
              <w:rPr>
                <w:rFonts w:ascii="Arial" w:cs="Arial" w:eastAsia="Arial" w:hAnsi="Arial"/>
                <w:sz w:val="22"/>
                <w:szCs w:val="22"/>
              </w:rPr>
              <w:t xml:space="preserve">✓  </w:t>
            </w:r>
            <w:r>
              <w:rPr>
                <w:rFonts w:ascii="Arial" w:cs="Arial" w:eastAsia="Arial" w:hAnsi="Arial"/>
                <w:b/>
                <w:bCs/>
                <w:color w:val="1E6B3A"/>
                <w:spacing w:val="6"/>
                <w:sz w:val="21"/>
                <w:szCs w:val="21"/>
              </w:rPr>
              <w:t xml:space="preserve">CONSERVATIVE CARE WORKS FOR MILD DISEASE</w:t>
            </w:r>
          </w:p>
          <w:p>
            <w:pPr>
              <w:spacing w:after="50"/>
            </w:pPr>
            <w:r>
              <w:rPr>
                <w:rFonts w:ascii="Arial" w:cs="Arial" w:eastAsia="Arial" w:hAnsi="Arial"/>
              </w:rPr>
              <w:t xml:space="preserve">Reassure (up to a third settle; pregnancy-related cases usually resolve after delivery), treat any cause, and try a night splint. A corticosteroid injection can give useful relief and may defer surgery — check the agent, dose and technique in the BNF and local guidance. Do not repeat an injection that produced no response; a good but temporary response can reasonably be repeated.</w:t>
            </w:r>
          </w:p>
        </w:tc>
      </w:tr>
    </w:tbl>
    <w:tbl>
      <w:tblPr>
        <w:tblW w:type="dxa" w:w="9746"/>
        <w:tblBorders>
          <w:top w:val="none" w:color="FFFFFF" w:sz="0"/>
          <w:left w:val="none" w:color="FFFFFF" w:sz="0"/>
          <w:bottom w:val="none" w:color="FFFFFF" w:sz="0"/>
          <w:right w:val="none" w:color="FFFFFF" w:sz="0"/>
          <w:insideH w:val="none" w:color="FFFFFF" w:sz="0"/>
          <w:insideV w:val="none" w:color="FFFFFF" w:sz="0"/>
        </w:tblBorders>
      </w:tblPr>
      <w:tblGrid>
        <w:gridCol w:w="70"/>
        <w:gridCol w:w="9676"/>
      </w:tblGrid>
      <w:tr>
        <w:trPr>
          <w:cantSplit/>
        </w:trPr>
        <w:tc>
          <w:tcPr>
            <w:tcW w:type="dxa" w:w="70"/>
            <w:tcBorders>
              <w:top w:val="none" w:color="FFFFFF" w:sz="0"/>
              <w:left w:val="none" w:color="FFFFFF" w:sz="0"/>
              <w:bottom w:val="none" w:color="FFFFFF" w:sz="0"/>
              <w:right w:val="none" w:color="FFFFFF" w:sz="0"/>
            </w:tcBorders>
            <w:shd w:fill="C0392B" w:color="auto" w:val="clear"/>
            <w:tcMar>
              <w:top w:type="dxa" w:w="0"/>
              <w:left w:type="dxa" w:w="0"/>
              <w:bottom w:type="dxa" w:w="0"/>
              <w:right w:type="dxa" w:w="0"/>
            </w:tcMar>
          </w:tcPr>
          <w:p>
            <w:r>
              <w:rPr>
                <w:rFonts w:ascii="Arial" w:cs="Arial" w:eastAsia="Arial" w:hAnsi="Arial"/>
              </w:rPr>
              <w:t xml:space="preserve"/>
            </w:r>
          </w:p>
        </w:tc>
        <w:tc>
          <w:tcPr>
            <w:tcW w:type="dxa" w:w="9676"/>
            <w:tcBorders>
              <w:top w:val="none" w:color="FFFFFF" w:sz="0"/>
              <w:left w:val="none" w:color="FFFFFF" w:sz="0"/>
              <w:bottom w:val="none" w:color="FFFFFF" w:sz="0"/>
              <w:right w:val="none" w:color="FFFFFF" w:sz="0"/>
            </w:tcBorders>
            <w:shd w:fill="FCEBEA" w:color="auto" w:val="clear"/>
            <w:tcMar>
              <w:top w:type="dxa" w:w="130"/>
              <w:left w:type="dxa" w:w="200"/>
              <w:bottom w:type="dxa" w:w="130"/>
              <w:right w:type="dxa" w:w="180"/>
            </w:tcMar>
          </w:tcPr>
          <w:p>
            <w:pPr>
              <w:spacing w:after="70"/>
            </w:pPr>
            <w:r>
              <w:rPr>
                <w:rFonts w:ascii="Arial" w:cs="Arial" w:eastAsia="Arial" w:hAnsi="Arial"/>
                <w:sz w:val="22"/>
                <w:szCs w:val="22"/>
              </w:rPr>
              <w:t xml:space="preserve">⚠  </w:t>
            </w:r>
            <w:r>
              <w:rPr>
                <w:rFonts w:ascii="Arial" w:cs="Arial" w:eastAsia="Arial" w:hAnsi="Arial"/>
                <w:b/>
                <w:bCs/>
                <w:color w:val="9B2620"/>
                <w:spacing w:val="6"/>
                <w:sz w:val="21"/>
                <w:szCs w:val="21"/>
              </w:rPr>
              <w:t xml:space="preserve">WHEN TO REFER URGENTLY</w:t>
            </w:r>
          </w:p>
          <w:p>
            <w:pPr>
              <w:spacing w:after="50"/>
            </w:pPr>
            <w:r>
              <w:rPr>
                <w:rFonts w:ascii="Arial" w:cs="Arial" w:eastAsia="Arial" w:hAnsi="Arial"/>
                <w:b/>
                <w:bCs/>
                <w:color w:val="1A2230"/>
              </w:rPr>
              <w:t xml:space="preserve">Steer towards surgical decompression — urgently — if there is CONSTANT numbness or thenar wasting / weakness.</w:t>
            </w:r>
            <w:r>
              <w:rPr>
                <w:rFonts w:ascii="Arial" w:cs="Arial" w:eastAsia="Arial" w:hAnsi="Arial"/>
              </w:rPr>
              <w:t xml:space="preserve"> These signal nerve damage that may become permanent if treatment is delayed. Carpal tunnel release is a common, effective day-case operation.</w:t>
            </w:r>
          </w:p>
        </w:tc>
      </w:tr>
    </w:tbl>
    <w:p>
      <w:pPr>
        <w:keepNext/>
        <w:keepLines/>
        <w:pBdr>
          <w:top w:val="single" w:color="F7E2D3" w:sz="2" w:space="4"/>
          <w:left w:val="single" w:color="E2661A" w:sz="26" w:space="8"/>
          <w:bottom w:val="single" w:color="F7E2D3" w:sz="2" w:space="4"/>
          <w:right w:val="single" w:color="F7E2D3" w:sz="2" w:space="4"/>
        </w:pBdr>
        <w:shd w:fill="FCEFE6" w:color="auto" w:val="clear"/>
        <w:spacing w:after="120" w:before="260"/>
        <w:ind w:left="120"/>
      </w:pPr>
      <w:r>
        <w:rPr>
          <w:rFonts w:ascii="Arial" w:cs="Arial" w:eastAsia="Arial" w:hAnsi="Arial"/>
          <w:b/>
          <w:bCs/>
          <w:color w:val="1A2230"/>
          <w:sz w:val="26"/>
          <w:szCs w:val="26"/>
        </w:rPr>
        <w:t xml:space="preserve">Learning points to take away</w:t>
      </w:r>
    </w:p>
    <w:p>
      <w:pPr>
        <w:pStyle w:val="ListParagraph"/>
        <w:numPr>
          <w:ilvl w:val="0"/>
          <w:numId w:val="2"/>
        </w:numPr>
        <w:spacing w:after="60"/>
      </w:pPr>
      <w:r>
        <w:rPr>
          <w:rFonts w:ascii="Arial" w:cs="Arial" w:eastAsia="Arial" w:hAnsi="Arial"/>
        </w:rPr>
        <w:t xml:space="preserve">The anatomy of the carpal tunnel — and the landmarks if you go on to learn injection technique.</w:t>
      </w:r>
    </w:p>
    <w:p>
      <w:pPr>
        <w:pStyle w:val="ListParagraph"/>
        <w:numPr>
          <w:ilvl w:val="0"/>
          <w:numId w:val="2"/>
        </w:numPr>
        <w:spacing w:after="60"/>
      </w:pPr>
      <w:r>
        <w:rPr>
          <w:rFonts w:ascii="Arial" w:cs="Arial" w:eastAsia="Arial" w:hAnsi="Arial"/>
        </w:rPr>
        <w:t xml:space="preserve">The history and examination features that mean surgery is needed (constant numbness, thenar wasting).</w:t>
      </w:r>
    </w:p>
    <w:p>
      <w:pPr>
        <w:pStyle w:val="ListParagraph"/>
        <w:numPr>
          <w:ilvl w:val="0"/>
          <w:numId w:val="2"/>
        </w:numPr>
        <w:spacing w:after="60"/>
      </w:pPr>
      <w:r>
        <w:rPr>
          <w:rFonts w:ascii="Arial" w:cs="Arial" w:eastAsia="Arial" w:hAnsi="Arial"/>
        </w:rPr>
        <w:t xml:space="preserve">Other sites of median nerve compression, and when to examine the neck.</w:t>
      </w:r>
    </w:p>
    <w:p>
      <w:pPr>
        <w:pStyle w:val="ListParagraph"/>
        <w:numPr>
          <w:ilvl w:val="0"/>
          <w:numId w:val="2"/>
        </w:numPr>
        <w:spacing w:after="60"/>
      </w:pPr>
      <w:r>
        <w:rPr>
          <w:rFonts w:ascii="Arial" w:cs="Arial" w:eastAsia="Arial" w:hAnsi="Arial"/>
        </w:rPr>
        <w:t xml:space="preserve">Shared decision-making — patient choice guides the path between splint, injection and surgery.</w:t>
      </w:r>
    </w:p>
    <w:p>
      <w:pPr>
        <w:spacing w:after="100"/>
      </w:pPr>
      <w:r>
        <w:rPr>
          <w:rFonts w:ascii="Arial" w:cs="Arial" w:eastAsia="Arial" w:hAnsi="Arial"/>
        </w:rPr>
        <w:t xml:space="preserve"/>
      </w:r>
    </w:p>
    <w:tbl>
      <w:tblPr>
        <w:tblW w:type="dxa" w:w="9746"/>
        <w:tblBorders>
          <w:top w:val="none" w:color="FFFFFF" w:sz="0"/>
          <w:left w:val="none" w:color="FFFFFF" w:sz="0"/>
          <w:bottom w:val="none" w:color="FFFFFF" w:sz="0"/>
          <w:right w:val="none" w:color="FFFFFF" w:sz="0"/>
          <w:insideH w:val="none" w:color="FFFFFF" w:sz="0"/>
          <w:insideV w:val="none" w:color="FFFFFF" w:sz="0"/>
        </w:tblBorders>
      </w:tblPr>
      <w:tblGrid>
        <w:gridCol w:w="70"/>
        <w:gridCol w:w="9676"/>
      </w:tblGrid>
      <w:tr>
        <w:trPr>
          <w:cantSplit/>
        </w:trPr>
        <w:tc>
          <w:tcPr>
            <w:tcW w:type="dxa" w:w="70"/>
            <w:tcBorders>
              <w:top w:val="none" w:color="FFFFFF" w:sz="0"/>
              <w:left w:val="none" w:color="FFFFFF" w:sz="0"/>
              <w:bottom w:val="none" w:color="FFFFFF" w:sz="0"/>
              <w:right w:val="none" w:color="FFFFFF" w:sz="0"/>
            </w:tcBorders>
            <w:shd w:fill="2E75B6" w:color="auto" w:val="clear"/>
            <w:tcMar>
              <w:top w:type="dxa" w:w="0"/>
              <w:left w:type="dxa" w:w="0"/>
              <w:bottom w:type="dxa" w:w="0"/>
              <w:right w:type="dxa" w:w="0"/>
            </w:tcMar>
          </w:tcPr>
          <w:p>
            <w:r>
              <w:rPr>
                <w:rFonts w:ascii="Arial" w:cs="Arial" w:eastAsia="Arial" w:hAnsi="Arial"/>
              </w:rPr>
              <w:t xml:space="preserve"/>
            </w:r>
          </w:p>
        </w:tc>
        <w:tc>
          <w:tcPr>
            <w:tcW w:type="dxa" w:w="9676"/>
            <w:tcBorders>
              <w:top w:val="none" w:color="FFFFFF" w:sz="0"/>
              <w:left w:val="none" w:color="FFFFFF" w:sz="0"/>
              <w:bottom w:val="none" w:color="FFFFFF" w:sz="0"/>
              <w:right w:val="none" w:color="FFFFFF" w:sz="0"/>
            </w:tcBorders>
            <w:shd w:fill="EAF1FA" w:color="auto" w:val="clear"/>
            <w:tcMar>
              <w:top w:type="dxa" w:w="130"/>
              <w:left w:type="dxa" w:w="200"/>
              <w:bottom w:type="dxa" w:w="130"/>
              <w:right w:type="dxa" w:w="180"/>
            </w:tcMar>
          </w:tcPr>
          <w:p>
            <w:pPr>
              <w:spacing w:after="70"/>
            </w:pPr>
            <w:r>
              <w:rPr>
                <w:rFonts w:ascii="Arial" w:cs="Arial" w:eastAsia="Arial" w:hAnsi="Arial"/>
                <w:sz w:val="22"/>
                <w:szCs w:val="22"/>
              </w:rPr>
              <w:t xml:space="preserve">🔎  </w:t>
            </w:r>
            <w:r>
              <w:rPr>
                <w:rFonts w:ascii="Arial" w:cs="Arial" w:eastAsia="Arial" w:hAnsi="Arial"/>
                <w:b/>
                <w:bCs/>
                <w:color w:val="1F4E79"/>
                <w:spacing w:val="6"/>
                <w:sz w:val="21"/>
                <w:szCs w:val="21"/>
              </w:rPr>
              <w:t xml:space="preserve">SOURCES &amp; FURTHER READING</w:t>
            </w:r>
          </w:p>
          <w:p>
            <w:pPr>
              <w:spacing w:after="50"/>
            </w:pPr>
            <w:r>
              <w:rPr>
                <w:rFonts w:ascii="Arial" w:cs="Arial" w:eastAsia="Arial" w:hAnsi="Arial"/>
                <w:b/>
                <w:bCs/>
                <w:color w:val="1A2230"/>
                <w:sz w:val="18"/>
                <w:szCs w:val="18"/>
              </w:rPr>
              <w:t xml:space="preserve">Verified against the following UK sources at the date of publication:</w:t>
            </w:r>
          </w:p>
          <w:p>
            <w:pPr>
              <w:pStyle w:val="ListParagraph"/>
              <w:numPr>
                <w:ilvl w:val="0"/>
                <w:numId w:val="2"/>
              </w:numPr>
              <w:spacing w:after="30"/>
            </w:pPr>
            <w:r>
              <w:rPr>
                <w:rFonts w:ascii="Arial" w:cs="Arial" w:eastAsia="Arial" w:hAnsi="Arial"/>
                <w:color w:val="283545"/>
                <w:sz w:val="18"/>
                <w:szCs w:val="18"/>
              </w:rPr>
              <w:t xml:space="preserve">NICE CKS — Carpal tunnel syndrome (diagnosis, conservative care, referral).</w:t>
            </w:r>
          </w:p>
          <w:p>
            <w:pPr>
              <w:pStyle w:val="ListParagraph"/>
              <w:numPr>
                <w:ilvl w:val="0"/>
                <w:numId w:val="2"/>
              </w:numPr>
              <w:spacing w:after="30"/>
            </w:pPr>
            <w:r>
              <w:rPr>
                <w:rFonts w:ascii="Arial" w:cs="Arial" w:eastAsia="Arial" w:hAnsi="Arial"/>
                <w:color w:val="283545"/>
                <w:sz w:val="18"/>
                <w:szCs w:val="18"/>
              </w:rPr>
              <w:t xml:space="preserve">BNF — for any corticosteroid injection agent, dose and technique.</w:t>
            </w:r>
          </w:p>
          <w:p>
            <w:pPr>
              <w:pStyle w:val="ListParagraph"/>
              <w:numPr>
                <w:ilvl w:val="0"/>
                <w:numId w:val="2"/>
              </w:numPr>
              <w:spacing w:after="30"/>
            </w:pPr>
            <w:r>
              <w:rPr>
                <w:rFonts w:ascii="Arial" w:cs="Arial" w:eastAsia="Arial" w:hAnsi="Arial"/>
                <w:color w:val="283545"/>
                <w:sz w:val="18"/>
                <w:szCs w:val="18"/>
              </w:rPr>
              <w:t xml:space="preserve">Refer to local hand-surgery / orthopaedic and physiotherapy pathways.</w:t>
            </w:r>
          </w:p>
        </w:tc>
      </w:tr>
    </w:tbl>
    <w:p>
      <w:pPr>
        <w:spacing w:after="60"/>
      </w:pPr>
      <w:r>
        <w:rPr>
          <w:rFonts w:ascii="Arial" w:cs="Arial" w:eastAsia="Arial" w:hAnsi="Arial"/>
        </w:rPr>
        <w:t xml:space="preserve"/>
      </w:r>
    </w:p>
    <w:tbl>
      <w:tblPr>
        <w:tblW w:type="dxa" w:w="9746"/>
        <w:tblBorders>
          <w:top w:val="none" w:color="FFFFFF" w:sz="0"/>
          <w:left w:val="none" w:color="FFFFFF" w:sz="0"/>
          <w:bottom w:val="none" w:color="FFFFFF" w:sz="0"/>
          <w:right w:val="none" w:color="FFFFFF" w:sz="0"/>
          <w:insideH w:val="none" w:color="FFFFFF" w:sz="0"/>
          <w:insideV w:val="none" w:color="FFFFFF" w:sz="0"/>
        </w:tblBorders>
      </w:tblPr>
      <w:tblGrid>
        <w:gridCol w:w="70"/>
        <w:gridCol w:w="9676"/>
      </w:tblGrid>
      <w:tr>
        <w:trPr>
          <w:cantSplit/>
        </w:trPr>
        <w:tc>
          <w:tcPr>
            <w:tcW w:type="dxa" w:w="70"/>
            <w:tcBorders>
              <w:top w:val="none" w:color="FFFFFF" w:sz="0"/>
              <w:left w:val="none" w:color="FFFFFF" w:sz="0"/>
              <w:bottom w:val="none" w:color="FFFFFF" w:sz="0"/>
              <w:right w:val="none" w:color="FFFFFF" w:sz="0"/>
            </w:tcBorders>
            <w:shd w:fill="7E57C2" w:color="auto" w:val="clear"/>
            <w:tcMar>
              <w:top w:type="dxa" w:w="0"/>
              <w:left w:type="dxa" w:w="0"/>
              <w:bottom w:type="dxa" w:w="0"/>
              <w:right w:type="dxa" w:w="0"/>
            </w:tcMar>
          </w:tcPr>
          <w:p>
            <w:r>
              <w:rPr>
                <w:rFonts w:ascii="Arial" w:cs="Arial" w:eastAsia="Arial" w:hAnsi="Arial"/>
              </w:rPr>
              <w:t xml:space="preserve"/>
            </w:r>
          </w:p>
        </w:tc>
        <w:tc>
          <w:tcPr>
            <w:tcW w:type="dxa" w:w="9676"/>
            <w:tcBorders>
              <w:top w:val="none" w:color="FFFFFF" w:sz="0"/>
              <w:left w:val="none" w:color="FFFFFF" w:sz="0"/>
              <w:bottom w:val="none" w:color="FFFFFF" w:sz="0"/>
              <w:right w:val="none" w:color="FFFFFF" w:sz="0"/>
            </w:tcBorders>
            <w:shd w:fill="F2EDFA" w:color="auto" w:val="clear"/>
            <w:tcMar>
              <w:top w:type="dxa" w:w="130"/>
              <w:left w:type="dxa" w:w="200"/>
              <w:bottom w:type="dxa" w:w="130"/>
              <w:right w:type="dxa" w:w="180"/>
            </w:tcMar>
          </w:tcPr>
          <w:p>
            <w:pPr>
              <w:spacing w:after="70"/>
            </w:pPr>
            <w:r>
              <w:rPr>
                <w:rFonts w:ascii="Arial" w:cs="Arial" w:eastAsia="Arial" w:hAnsi="Arial"/>
                <w:sz w:val="22"/>
                <w:szCs w:val="22"/>
              </w:rPr>
              <w:t xml:space="preserve">⚠  </w:t>
            </w:r>
            <w:r>
              <w:rPr>
                <w:rFonts w:ascii="Arial" w:cs="Arial" w:eastAsia="Arial" w:hAnsi="Arial"/>
                <w:b/>
                <w:bCs/>
                <w:color w:val="4A2C82"/>
                <w:spacing w:val="6"/>
                <w:sz w:val="21"/>
                <w:szCs w:val="21"/>
              </w:rPr>
              <w:t xml:space="preserve">IMPORTANT — EDUCATIONAL DISCLAIMER</w:t>
            </w:r>
          </w:p>
          <w:p>
            <w:pPr>
              <w:spacing w:after="50"/>
            </w:pPr>
            <w:r>
              <w:rPr>
                <w:rFonts w:ascii="Arial" w:cs="Arial" w:eastAsia="Arial" w:hAnsi="Arial"/>
                <w:color w:val="283545"/>
                <w:sz w:val="19"/>
                <w:szCs w:val="19"/>
              </w:rPr>
              <w:t xml:space="preserve">This document is provided exclusively for educational and training purposes as a Bradford VTS teaching aid. It does not constitute formal clinical guidance.</w:t>
            </w:r>
          </w:p>
          <w:p>
            <w:pPr>
              <w:spacing w:after="0"/>
            </w:pPr>
            <w:r>
              <w:rPr>
                <w:rFonts w:ascii="Arial" w:cs="Arial" w:eastAsia="Arial" w:hAnsi="Arial"/>
                <w:color w:val="283545"/>
                <w:sz w:val="19"/>
                <w:szCs w:val="19"/>
              </w:rPr>
              <w:t xml:space="preserve">Clinicians must independently verify all medical information, prescribing guidance, procedural protocols, and legal requirements against current national guidance (NICE, NICE CKS, BNF, MHRA and relevant Royal Colleges), local policies, and regulatory bodies before applying any of it in practice. Information is correct to the best of our knowledge at the date of publication but guidance changes — the responsibility for safe, up-to-date practice rests with the individual clinician.</w:t>
            </w:r>
          </w:p>
        </w:tc>
      </w:tr>
    </w:tbl>
    <w:sectPr>
      <w:footerReference w:type="default" r:id="rId7"/>
      <w:pgSz w:w="11906" w:h="16838" w:orient="portrait"/>
      <w:pgMar w:top="1080" w:right="1080" w:bottom="1180" w:left="108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DBE1E8" w:sz="4" w:space="6"/>
      </w:pBdr>
      <w:tabs>
        <w:tab w:val="right" w:pos="9746"/>
      </w:tabs>
      <w:spacing w:before="60"/>
    </w:pPr>
    <w:r>
      <w:rPr>
        <w:rFonts w:ascii="Arial" w:cs="Arial" w:eastAsia="Arial" w:hAnsi="Arial"/>
        <w:color w:val="5E6E7E"/>
        <w:sz w:val="14"/>
        <w:szCs w:val="14"/>
      </w:rPr>
      <w:t xml:space="preserve">Carpal Tunnel — OSCE Station  ·  Educational teaching aid — verify against current NICE / BNF guidance and local policy before clinical use.</w:t>
    </w:r>
    <w:r>
      <w:rPr>
        <w:rFonts w:ascii="Arial" w:cs="Arial" w:eastAsia="Arial" w:hAnsi="Arial"/>
      </w:rPr>
      <w:t xml:space="preserve">	</w:t>
    </w:r>
    <w:r>
      <w:rPr>
        <w:rFonts w:ascii="Arial" w:cs="Arial" w:eastAsia="Arial" w:hAnsi="Arial"/>
        <w:color w:val="5E6E7E"/>
        <w:sz w:val="14"/>
        <w:szCs w:val="14"/>
      </w:rPr>
      <w:t xml:space="preserve">Page </w:t>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360" w:hanging="220"/>
      </w:pPr>
      <w:rPr>
        <w:color w:val="E2661A"/>
      </w:rPr>
    </w:lvl>
    <w:lvl w:ilvl="1" w15:tentative="1">
      <w:start w:val="1"/>
      <w:numFmt w:val="bullet"/>
      <w:lvlText w:val="–"/>
      <w:lvlJc w:val="left"/>
      <w:pPr>
        <w:ind w:left="720" w:hanging="220"/>
      </w:pPr>
      <w:rPr>
        <w:color w:val="5E6E7E"/>
      </w:rPr>
    </w:lvl>
  </w:abstractNum>
  <w:abstractNum w:abstractNumId="3" w15:restartNumberingAfterBreak="0">
    <w:multiLevelType w:val="hybridMultilevel"/>
    <w:lvl w:ilvl="0" w15:tentative="1">
      <w:start w:val="1"/>
      <w:numFmt w:val="decimal"/>
      <w:lvlText w:val="%1."/>
      <w:lvlJc w:val="left"/>
      <w:pPr>
        <w:ind w:left="360" w:hanging="260"/>
      </w:pPr>
      <w:rPr>
        <w:b/>
        <w:bCs/>
        <w:color w:val="C2530F"/>
      </w:rPr>
    </w:lvl>
  </w:abstractNum>
  <w:abstractNum w:abstractNumId="4" w15:restartNumberingAfterBreak="0">
    <w:multiLevelType w:val="hybridMultilevel"/>
    <w:lvl w:ilvl="0" w15:tentative="1">
      <w:start w:val="1"/>
      <w:numFmt w:val="bullet"/>
      <w:lvlText w:val="□"/>
      <w:lvlJc w:val="left"/>
      <w:pPr>
        <w:ind w:left="340" w:hanging="240"/>
      </w:pPr>
      <w:rPr>
        <w:color w:val="E2661A"/>
      </w:r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color w:val="283545"/>
        <w:sz w:val="20"/>
        <w:szCs w:val="20"/>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Normal">
    <w:name w:val="Normal"/>
    <w:pPr>
      <w:spacing w:after="120" w:line="264" w:lineRule="auto"/>
    </w:pPr>
    <w:rPr>
      <w:rFonts w:ascii="Arial" w:cs="Arial" w:eastAsia="Arial" w:hAnsi="Arial"/>
      <w:color w:val="283545"/>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oter" Target="footer1.xml"/><Relationship Id="rId8" Type="http://schemas.openxmlformats.org/officeDocument/2006/relationships/image" Target="media/177a238b0ff92490366f6ce3b4666c93ef77a20f.png"/><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2026-06-19T16:29:37.165Z</dcterms:created>
  <dcterms:modified xsi:type="dcterms:W3CDTF">2026-06-19T16:29:37.166Z</dcterms:modified>
</cp:coreProperties>
</file>

<file path=docProps/custom.xml><?xml version="1.0" encoding="utf-8"?>
<Properties xmlns="http://schemas.openxmlformats.org/officeDocument/2006/custom-properties" xmlns:vt="http://schemas.openxmlformats.org/officeDocument/2006/docPropsVTypes"/>
</file>