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2"/>
      </w:tblGrid>
      <w:tr w:rsidR="00A506B0" w14:paraId="66F6E9DC" w14:textId="77777777">
        <w:trPr>
          <w:jc w:val="center"/>
        </w:trPr>
        <w:tc>
          <w:tcPr>
            <w:tcW w:w="9072" w:type="dxa"/>
            <w:shd w:val="clear" w:color="auto" w:fill="E0651F"/>
          </w:tcPr>
          <w:p w14:paraId="177E4A8D" w14:textId="77777777" w:rsidR="00A506B0" w:rsidRDefault="00000000" w:rsidP="00CD1E32">
            <w:pPr>
              <w:spacing w:after="0"/>
              <w:jc w:val="center"/>
            </w:pPr>
            <w:r>
              <w:rPr>
                <w:b/>
                <w:caps/>
                <w:color w:val="FFFFFF"/>
                <w:sz w:val="20"/>
              </w:rPr>
              <w:t>BRADFORD VTS TEACHING AIDS</w:t>
            </w:r>
          </w:p>
          <w:p w14:paraId="62FEC4C8" w14:textId="77777777" w:rsidR="00A506B0" w:rsidRDefault="00000000" w:rsidP="00CD1E32">
            <w:pPr>
              <w:spacing w:after="0"/>
              <w:jc w:val="center"/>
            </w:pPr>
            <w:r>
              <w:rPr>
                <w:b/>
                <w:color w:val="FFFFFF"/>
                <w:sz w:val="52"/>
              </w:rPr>
              <w:t>Anticipatory Medication</w:t>
            </w:r>
            <w:r>
              <w:rPr>
                <w:b/>
                <w:color w:val="FFFFFF"/>
                <w:sz w:val="52"/>
              </w:rPr>
              <w:br/>
              <w:t>Prescribing Reference</w:t>
            </w:r>
          </w:p>
          <w:p w14:paraId="62D02A62" w14:textId="77777777" w:rsidR="00A506B0" w:rsidRDefault="00000000" w:rsidP="00CD1E32">
            <w:pPr>
              <w:spacing w:after="0"/>
              <w:jc w:val="center"/>
            </w:pPr>
            <w:r>
              <w:rPr>
                <w:i/>
                <w:color w:val="FFFFFF"/>
              </w:rPr>
              <w:t>Quick Reference Guide · Bradford VTS · June 2026</w:t>
            </w:r>
          </w:p>
        </w:tc>
      </w:tr>
    </w:tbl>
    <w:p w14:paraId="29768B38" w14:textId="77777777" w:rsidR="00A506B0" w:rsidRDefault="00A506B0" w:rsidP="00CD1E32">
      <w:pPr>
        <w:spacing w:after="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506B0" w14:paraId="5D19AF21" w14:textId="77777777">
        <w:tc>
          <w:tcPr>
            <w:tcW w:w="9406" w:type="dxa"/>
            <w:shd w:val="clear" w:color="auto" w:fill="1B3A6B"/>
          </w:tcPr>
          <w:p w14:paraId="43C7A535" w14:textId="77777777" w:rsidR="00A506B0" w:rsidRDefault="00000000" w:rsidP="00CD1E32">
            <w:pPr>
              <w:spacing w:after="0"/>
            </w:pPr>
            <w:r>
              <w:rPr>
                <w:b/>
                <w:color w:val="FFFFFF"/>
                <w:sz w:val="20"/>
              </w:rPr>
              <w:t xml:space="preserve">ℹ️ Reference Guide: </w:t>
            </w:r>
            <w:r>
              <w:rPr>
                <w:color w:val="FFFFFF"/>
                <w:sz w:val="20"/>
              </w:rPr>
              <w:t>This reference guide is for prescribing anticipatory "just-in-case" medications for patients in the last days of life. All doses are for adults. Check local formulary. Palliative care advice: available 24/7 via your local hospice. Source: Bradford &amp; Airedale. Updated to NICE NG31 (2015) and BNF current.</w:t>
            </w:r>
          </w:p>
        </w:tc>
      </w:tr>
    </w:tbl>
    <w:p w14:paraId="3D606CC4" w14:textId="77777777" w:rsidR="00A506B0" w:rsidRDefault="00A506B0" w:rsidP="00CD1E32">
      <w:pPr>
        <w:spacing w:after="0"/>
      </w:pPr>
    </w:p>
    <w:p w14:paraId="373964A2" w14:textId="77777777" w:rsidR="00A506B0" w:rsidRDefault="00000000" w:rsidP="00CD1E32">
      <w:pPr>
        <w:spacing w:after="0"/>
      </w:pPr>
      <w:r>
        <w:rPr>
          <w:b/>
          <w:color w:val="1B3A6B"/>
          <w:sz w:val="32"/>
        </w:rPr>
        <w:t>The 4 Standard Anticipatory Medications (NICE NG31)</w:t>
      </w:r>
    </w:p>
    <w:tbl>
      <w:tblPr>
        <w:tblStyle w:val="TableGrid"/>
        <w:tblW w:w="10774" w:type="dxa"/>
        <w:tblInd w:w="-601" w:type="dxa"/>
        <w:tblLook w:val="04A0" w:firstRow="1" w:lastRow="0" w:firstColumn="1" w:lastColumn="0" w:noHBand="0" w:noVBand="1"/>
      </w:tblPr>
      <w:tblGrid>
        <w:gridCol w:w="1560"/>
        <w:gridCol w:w="1559"/>
        <w:gridCol w:w="2552"/>
        <w:gridCol w:w="2454"/>
        <w:gridCol w:w="2649"/>
      </w:tblGrid>
      <w:tr w:rsidR="00A506B0" w14:paraId="077F047F" w14:textId="77777777" w:rsidTr="00CD1E32">
        <w:tc>
          <w:tcPr>
            <w:tcW w:w="1560" w:type="dxa"/>
            <w:shd w:val="clear" w:color="auto" w:fill="1B3A6B"/>
          </w:tcPr>
          <w:p w14:paraId="2FD674FE" w14:textId="77777777" w:rsidR="00A506B0" w:rsidRDefault="00000000" w:rsidP="00CD1E32">
            <w:r>
              <w:rPr>
                <w:b/>
                <w:color w:val="FFFFFF"/>
                <w:sz w:val="18"/>
              </w:rPr>
              <w:t>Drug</w:t>
            </w:r>
          </w:p>
        </w:tc>
        <w:tc>
          <w:tcPr>
            <w:tcW w:w="1559" w:type="dxa"/>
            <w:shd w:val="clear" w:color="auto" w:fill="1B3A6B"/>
          </w:tcPr>
          <w:p w14:paraId="5152FB74" w14:textId="77777777" w:rsidR="00A506B0" w:rsidRDefault="00000000" w:rsidP="00CD1E32">
            <w:r>
              <w:rPr>
                <w:b/>
                <w:color w:val="FFFFFF"/>
                <w:sz w:val="18"/>
              </w:rPr>
              <w:t>Symptom</w:t>
            </w:r>
          </w:p>
        </w:tc>
        <w:tc>
          <w:tcPr>
            <w:tcW w:w="2552" w:type="dxa"/>
            <w:shd w:val="clear" w:color="auto" w:fill="1B3A6B"/>
          </w:tcPr>
          <w:p w14:paraId="77858068" w14:textId="77777777" w:rsidR="00A506B0" w:rsidRDefault="00000000" w:rsidP="00CD1E32">
            <w:r>
              <w:rPr>
                <w:b/>
                <w:color w:val="FFFFFF"/>
                <w:sz w:val="18"/>
              </w:rPr>
              <w:t>PRN SC Dose</w:t>
            </w:r>
          </w:p>
        </w:tc>
        <w:tc>
          <w:tcPr>
            <w:tcW w:w="2454" w:type="dxa"/>
            <w:shd w:val="clear" w:color="auto" w:fill="1B3A6B"/>
          </w:tcPr>
          <w:p w14:paraId="579C0BDE" w14:textId="77777777" w:rsidR="00A506B0" w:rsidRDefault="00000000" w:rsidP="00CD1E32">
            <w:r>
              <w:rPr>
                <w:b/>
                <w:color w:val="FFFFFF"/>
                <w:sz w:val="18"/>
              </w:rPr>
              <w:t>CSCI 24hr</w:t>
            </w:r>
          </w:p>
        </w:tc>
        <w:tc>
          <w:tcPr>
            <w:tcW w:w="2649" w:type="dxa"/>
            <w:shd w:val="clear" w:color="auto" w:fill="1B3A6B"/>
          </w:tcPr>
          <w:p w14:paraId="188027AE" w14:textId="77777777" w:rsidR="00A506B0" w:rsidRDefault="00000000" w:rsidP="00CD1E32">
            <w:r>
              <w:rPr>
                <w:b/>
                <w:color w:val="FFFFFF"/>
                <w:sz w:val="18"/>
              </w:rPr>
              <w:t>Notes</w:t>
            </w:r>
          </w:p>
        </w:tc>
      </w:tr>
      <w:tr w:rsidR="00A506B0" w14:paraId="09600935" w14:textId="77777777" w:rsidTr="00CD1E32">
        <w:tc>
          <w:tcPr>
            <w:tcW w:w="1560" w:type="dxa"/>
          </w:tcPr>
          <w:p w14:paraId="2EDC3E26" w14:textId="77777777" w:rsidR="00A506B0" w:rsidRDefault="00000000" w:rsidP="00CD1E32">
            <w:r>
              <w:rPr>
                <w:sz w:val="18"/>
              </w:rPr>
              <w:t>Morphine</w:t>
            </w:r>
            <w:r>
              <w:rPr>
                <w:sz w:val="18"/>
              </w:rPr>
              <w:br/>
              <w:t>(or Diamorphine)</w:t>
            </w:r>
          </w:p>
        </w:tc>
        <w:tc>
          <w:tcPr>
            <w:tcW w:w="1559" w:type="dxa"/>
          </w:tcPr>
          <w:p w14:paraId="5249129E" w14:textId="77777777" w:rsidR="00A506B0" w:rsidRDefault="00000000" w:rsidP="00CD1E32">
            <w:r>
              <w:rPr>
                <w:sz w:val="18"/>
              </w:rPr>
              <w:t>Pain</w:t>
            </w:r>
            <w:r>
              <w:rPr>
                <w:sz w:val="18"/>
              </w:rPr>
              <w:br/>
              <w:t>Breathlessness</w:t>
            </w:r>
          </w:p>
        </w:tc>
        <w:tc>
          <w:tcPr>
            <w:tcW w:w="2552" w:type="dxa"/>
          </w:tcPr>
          <w:p w14:paraId="585C16EE" w14:textId="77777777" w:rsidR="00A506B0" w:rsidRDefault="00000000" w:rsidP="00CD1E32">
            <w:r>
              <w:rPr>
                <w:sz w:val="18"/>
              </w:rPr>
              <w:t>Based on 1/6 of total daily dose</w:t>
            </w:r>
            <w:r>
              <w:rPr>
                <w:sz w:val="18"/>
              </w:rPr>
              <w:br/>
              <w:t>(Opioid-naive: 2.5–5mg SC)</w:t>
            </w:r>
          </w:p>
        </w:tc>
        <w:tc>
          <w:tcPr>
            <w:tcW w:w="2454" w:type="dxa"/>
          </w:tcPr>
          <w:p w14:paraId="5FE89900" w14:textId="77777777" w:rsidR="00A506B0" w:rsidRDefault="00000000" w:rsidP="00CD1E32">
            <w:r>
              <w:rPr>
                <w:sz w:val="18"/>
              </w:rPr>
              <w:t>Based on total daily morphine ÷ 2 (SC morphine)</w:t>
            </w:r>
            <w:r>
              <w:rPr>
                <w:sz w:val="18"/>
              </w:rPr>
              <w:br/>
              <w:t>or ÷ 3 (SC diamorphine)</w:t>
            </w:r>
          </w:p>
        </w:tc>
        <w:tc>
          <w:tcPr>
            <w:tcW w:w="2649" w:type="dxa"/>
          </w:tcPr>
          <w:p w14:paraId="79428E75" w14:textId="77777777" w:rsidR="00A506B0" w:rsidRDefault="00000000" w:rsidP="00CD1E32">
            <w:r>
              <w:rPr>
                <w:sz w:val="18"/>
              </w:rPr>
              <w:t>Preferred drug for pain/breathlessness. Use same drug as in syringe driver for PRN.</w:t>
            </w:r>
          </w:p>
        </w:tc>
      </w:tr>
      <w:tr w:rsidR="00A506B0" w14:paraId="5135157B" w14:textId="77777777" w:rsidTr="00CD1E32">
        <w:tc>
          <w:tcPr>
            <w:tcW w:w="1560" w:type="dxa"/>
          </w:tcPr>
          <w:p w14:paraId="444DDC8B" w14:textId="77777777" w:rsidR="00A506B0" w:rsidRDefault="00000000" w:rsidP="00CD1E32">
            <w:r>
              <w:rPr>
                <w:sz w:val="18"/>
              </w:rPr>
              <w:t>Midazolam</w:t>
            </w:r>
          </w:p>
        </w:tc>
        <w:tc>
          <w:tcPr>
            <w:tcW w:w="1559" w:type="dxa"/>
          </w:tcPr>
          <w:p w14:paraId="7A12935D" w14:textId="77777777" w:rsidR="00A506B0" w:rsidRDefault="00000000" w:rsidP="00CD1E32">
            <w:r>
              <w:rPr>
                <w:sz w:val="18"/>
              </w:rPr>
              <w:t>Agitation</w:t>
            </w:r>
            <w:r>
              <w:rPr>
                <w:sz w:val="18"/>
              </w:rPr>
              <w:br/>
              <w:t>Anxiety</w:t>
            </w:r>
            <w:r>
              <w:rPr>
                <w:sz w:val="18"/>
              </w:rPr>
              <w:br/>
              <w:t>Breathlessness</w:t>
            </w:r>
          </w:p>
        </w:tc>
        <w:tc>
          <w:tcPr>
            <w:tcW w:w="2552" w:type="dxa"/>
          </w:tcPr>
          <w:p w14:paraId="35AC52F1" w14:textId="77777777" w:rsidR="00A506B0" w:rsidRDefault="00000000" w:rsidP="00CD1E32">
            <w:r>
              <w:rPr>
                <w:sz w:val="18"/>
              </w:rPr>
              <w:t>2.5–5mg SC</w:t>
            </w:r>
            <w:r>
              <w:rPr>
                <w:sz w:val="18"/>
              </w:rPr>
              <w:br/>
              <w:t>(up to hourly if needed)</w:t>
            </w:r>
          </w:p>
        </w:tc>
        <w:tc>
          <w:tcPr>
            <w:tcW w:w="2454" w:type="dxa"/>
          </w:tcPr>
          <w:p w14:paraId="2EF6C0A4" w14:textId="77777777" w:rsidR="00A506B0" w:rsidRDefault="00000000" w:rsidP="00CD1E32">
            <w:r>
              <w:rPr>
                <w:sz w:val="18"/>
              </w:rPr>
              <w:t>10–20mg/24hr starting</w:t>
            </w:r>
            <w:r>
              <w:rPr>
                <w:sz w:val="18"/>
              </w:rPr>
              <w:br/>
              <w:t>(seek specialist input &gt;30mg)</w:t>
            </w:r>
          </w:p>
        </w:tc>
        <w:tc>
          <w:tcPr>
            <w:tcW w:w="2649" w:type="dxa"/>
          </w:tcPr>
          <w:p w14:paraId="4B492C4B" w14:textId="77777777" w:rsidR="00A506B0" w:rsidRDefault="00000000" w:rsidP="00CD1E32">
            <w:r>
              <w:rPr>
                <w:sz w:val="18"/>
              </w:rPr>
              <w:t>First check for reversible causes of agitation (urine retention, pain, constipation)</w:t>
            </w:r>
          </w:p>
        </w:tc>
      </w:tr>
      <w:tr w:rsidR="00A506B0" w14:paraId="11D61A8B" w14:textId="77777777" w:rsidTr="00CD1E32">
        <w:tc>
          <w:tcPr>
            <w:tcW w:w="1560" w:type="dxa"/>
          </w:tcPr>
          <w:p w14:paraId="7C860086" w14:textId="77777777" w:rsidR="00A506B0" w:rsidRDefault="00000000" w:rsidP="00CD1E32">
            <w:r>
              <w:rPr>
                <w:sz w:val="18"/>
              </w:rPr>
              <w:t>Haloperidol</w:t>
            </w:r>
          </w:p>
        </w:tc>
        <w:tc>
          <w:tcPr>
            <w:tcW w:w="1559" w:type="dxa"/>
          </w:tcPr>
          <w:p w14:paraId="3BCF03A6" w14:textId="77777777" w:rsidR="00A506B0" w:rsidRDefault="00000000" w:rsidP="00CD1E32">
            <w:r>
              <w:rPr>
                <w:sz w:val="18"/>
              </w:rPr>
              <w:t>Nausea</w:t>
            </w:r>
            <w:r>
              <w:rPr>
                <w:sz w:val="18"/>
              </w:rPr>
              <w:br/>
              <w:t>Vomiting</w:t>
            </w:r>
            <w:r>
              <w:rPr>
                <w:sz w:val="18"/>
              </w:rPr>
              <w:br/>
              <w:t>Agitation</w:t>
            </w:r>
          </w:p>
        </w:tc>
        <w:tc>
          <w:tcPr>
            <w:tcW w:w="2552" w:type="dxa"/>
          </w:tcPr>
          <w:p w14:paraId="0FCBD199" w14:textId="77777777" w:rsidR="00A506B0" w:rsidRDefault="00000000" w:rsidP="00CD1E32">
            <w:r>
              <w:rPr>
                <w:sz w:val="18"/>
              </w:rPr>
              <w:t>1.5–2.5mg SC</w:t>
            </w:r>
            <w:r>
              <w:rPr>
                <w:sz w:val="18"/>
              </w:rPr>
              <w:br/>
              <w:t>(max 12-hourly PRN)</w:t>
            </w:r>
          </w:p>
        </w:tc>
        <w:tc>
          <w:tcPr>
            <w:tcW w:w="2454" w:type="dxa"/>
          </w:tcPr>
          <w:p w14:paraId="19348957" w14:textId="77777777" w:rsidR="00A506B0" w:rsidRDefault="00000000" w:rsidP="00CD1E32">
            <w:r>
              <w:rPr>
                <w:sz w:val="18"/>
              </w:rPr>
              <w:t>2.5–5mg/24hr</w:t>
            </w:r>
            <w:r>
              <w:rPr>
                <w:sz w:val="18"/>
              </w:rPr>
              <w:br/>
              <w:t>(max 10mg exceptional)</w:t>
            </w:r>
          </w:p>
        </w:tc>
        <w:tc>
          <w:tcPr>
            <w:tcW w:w="2649" w:type="dxa"/>
          </w:tcPr>
          <w:p w14:paraId="0F858F46" w14:textId="77777777" w:rsidR="00A506B0" w:rsidRDefault="00000000" w:rsidP="00CD1E32">
            <w:r>
              <w:rPr>
                <w:sz w:val="18"/>
              </w:rPr>
              <w:t>Review after 24hr. Start syringe driver if ≥2 PRN doses needed.</w:t>
            </w:r>
          </w:p>
        </w:tc>
      </w:tr>
      <w:tr w:rsidR="00A506B0" w14:paraId="554F3698" w14:textId="77777777" w:rsidTr="00CD1E32">
        <w:tc>
          <w:tcPr>
            <w:tcW w:w="1560" w:type="dxa"/>
          </w:tcPr>
          <w:p w14:paraId="5DC4FD1E" w14:textId="77777777" w:rsidR="00A506B0" w:rsidRDefault="00000000" w:rsidP="00CD1E32">
            <w:r>
              <w:rPr>
                <w:sz w:val="18"/>
              </w:rPr>
              <w:t>Hyoscine</w:t>
            </w:r>
            <w:r>
              <w:rPr>
                <w:sz w:val="18"/>
              </w:rPr>
              <w:br/>
              <w:t>Butylbromide</w:t>
            </w:r>
            <w:r>
              <w:rPr>
                <w:sz w:val="18"/>
              </w:rPr>
              <w:br/>
              <w:t>(Buscopan)</w:t>
            </w:r>
          </w:p>
        </w:tc>
        <w:tc>
          <w:tcPr>
            <w:tcW w:w="1559" w:type="dxa"/>
          </w:tcPr>
          <w:p w14:paraId="692F51B2" w14:textId="77777777" w:rsidR="00A506B0" w:rsidRDefault="00000000" w:rsidP="00CD1E32">
            <w:r>
              <w:rPr>
                <w:sz w:val="18"/>
              </w:rPr>
              <w:t>Respiratory</w:t>
            </w:r>
            <w:r>
              <w:rPr>
                <w:sz w:val="18"/>
              </w:rPr>
              <w:br/>
              <w:t>Secretions</w:t>
            </w:r>
            <w:r>
              <w:rPr>
                <w:sz w:val="18"/>
              </w:rPr>
              <w:br/>
              <w:t>("death rattle")</w:t>
            </w:r>
          </w:p>
        </w:tc>
        <w:tc>
          <w:tcPr>
            <w:tcW w:w="2552" w:type="dxa"/>
          </w:tcPr>
          <w:p w14:paraId="575E05C9" w14:textId="77777777" w:rsidR="00A506B0" w:rsidRDefault="00000000" w:rsidP="00CD1E32">
            <w:r>
              <w:rPr>
                <w:sz w:val="18"/>
              </w:rPr>
              <w:t>20mg SC</w:t>
            </w:r>
            <w:r>
              <w:rPr>
                <w:sz w:val="18"/>
              </w:rPr>
              <w:br/>
              <w:t>(reassess after 1hr)</w:t>
            </w:r>
          </w:p>
        </w:tc>
        <w:tc>
          <w:tcPr>
            <w:tcW w:w="2454" w:type="dxa"/>
          </w:tcPr>
          <w:p w14:paraId="4D10CDFB" w14:textId="77777777" w:rsidR="00A506B0" w:rsidRDefault="00000000" w:rsidP="00CD1E32">
            <w:r>
              <w:rPr>
                <w:sz w:val="18"/>
              </w:rPr>
              <w:t>60–80mg/24hr</w:t>
            </w:r>
            <w:r>
              <w:rPr>
                <w:sz w:val="18"/>
              </w:rPr>
              <w:br/>
              <w:t>(up to 120mg)</w:t>
            </w:r>
          </w:p>
        </w:tc>
        <w:tc>
          <w:tcPr>
            <w:tcW w:w="2649" w:type="dxa"/>
          </w:tcPr>
          <w:p w14:paraId="18BAE77C" w14:textId="77777777" w:rsidR="00A506B0" w:rsidRDefault="00000000" w:rsidP="00CD1E32">
            <w:r>
              <w:rPr>
                <w:sz w:val="18"/>
              </w:rPr>
              <w:t>Explain to family that secretions are NOT distressing to patient. Position lateral. Do NOT suction unless proximal.</w:t>
            </w:r>
          </w:p>
        </w:tc>
      </w:tr>
    </w:tbl>
    <w:p w14:paraId="5AEE480C" w14:textId="77777777" w:rsidR="00A506B0" w:rsidRDefault="00A506B0" w:rsidP="00CD1E32">
      <w:pPr>
        <w:spacing w:after="0"/>
      </w:pPr>
    </w:p>
    <w:p w14:paraId="024EE49B" w14:textId="77777777" w:rsidR="00A506B0" w:rsidRDefault="00000000" w:rsidP="00CD1E32">
      <w:pPr>
        <w:spacing w:after="0"/>
      </w:pPr>
      <w:r>
        <w:rPr>
          <w:b/>
          <w:color w:val="1B3A6B"/>
          <w:sz w:val="32"/>
        </w:rPr>
        <w:t>Dose Calculation Rules</w:t>
      </w:r>
    </w:p>
    <w:p w14:paraId="27A4C588" w14:textId="77777777" w:rsidR="00A506B0" w:rsidRDefault="00000000" w:rsidP="00CD1E32">
      <w:pPr>
        <w:spacing w:after="0"/>
      </w:pPr>
      <w:r>
        <w:t>• Oral morphine ÷ 3 = SC diamorphine 24hr dose for syringe driver</w:t>
      </w:r>
    </w:p>
    <w:p w14:paraId="773AC739" w14:textId="77777777" w:rsidR="00A506B0" w:rsidRDefault="00000000" w:rsidP="00CD1E32">
      <w:pPr>
        <w:spacing w:after="0"/>
      </w:pPr>
      <w:r>
        <w:t>• Oral morphine ÷ 2 = SC morphine 24hr dose for syringe driver</w:t>
      </w:r>
    </w:p>
    <w:p w14:paraId="24F9DE3A" w14:textId="77777777" w:rsidR="00A506B0" w:rsidRDefault="00000000" w:rsidP="00CD1E32">
      <w:pPr>
        <w:spacing w:after="0"/>
      </w:pPr>
      <w:r>
        <w:t>• PRN SC dose = 1/6 of total 24hr opioid dose (same drug as in driver)</w:t>
      </w:r>
    </w:p>
    <w:p w14:paraId="20CF2F1D" w14:textId="77777777" w:rsidR="00A506B0" w:rsidRDefault="00000000" w:rsidP="00CD1E32">
      <w:pPr>
        <w:spacing w:after="0"/>
      </w:pPr>
      <w:r>
        <w:t>• PRN SC opioid: do NOT give more frequently than 2-hourly without medical review</w:t>
      </w:r>
    </w:p>
    <w:p w14:paraId="474F2F6C" w14:textId="77777777" w:rsidR="00A506B0" w:rsidRDefault="00000000" w:rsidP="00CD1E32">
      <w:pPr>
        <w:spacing w:after="0"/>
      </w:pPr>
      <w:r>
        <w:t>• Cyclizine: AVOID in same syringe as these drugs — precipitates. Use separate driver if needed.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506B0" w14:paraId="4552B349" w14:textId="77777777">
        <w:tc>
          <w:tcPr>
            <w:tcW w:w="9406" w:type="dxa"/>
            <w:shd w:val="clear" w:color="auto" w:fill="F3A412"/>
          </w:tcPr>
          <w:p w14:paraId="43DB0B70" w14:textId="77777777" w:rsidR="00A506B0" w:rsidRDefault="00000000" w:rsidP="00CD1E32">
            <w:pPr>
              <w:spacing w:after="0"/>
            </w:pPr>
            <w:r>
              <w:rPr>
                <w:b/>
                <w:color w:val="FFFFFF"/>
                <w:sz w:val="20"/>
              </w:rPr>
              <w:t xml:space="preserve">⚠️ Prescribing Note: </w:t>
            </w:r>
            <w:r>
              <w:rPr>
                <w:color w:val="FFFFFF"/>
                <w:sz w:val="20"/>
              </w:rPr>
              <w:t>IMPORTANT: Cross off any medication not needed. All doses outside some product licences — this is accepted best practice (NICE NG31). Palliative care advice 24/7: contact your local hospice/palliative care team.</w:t>
            </w:r>
          </w:p>
        </w:tc>
      </w:tr>
    </w:tbl>
    <w:p w14:paraId="10B4CB11" w14:textId="77777777" w:rsidR="00A506B0" w:rsidRDefault="00A506B0" w:rsidP="00CD1E32">
      <w:pPr>
        <w:spacing w:after="0"/>
      </w:pPr>
    </w:p>
    <w:p w14:paraId="02DF12F6" w14:textId="77777777" w:rsidR="00A506B0" w:rsidRDefault="00000000" w:rsidP="00CD1E32">
      <w:pPr>
        <w:spacing w:after="0"/>
      </w:pPr>
      <w:r>
        <w:rPr>
          <w:b/>
          <w:color w:val="1B3A6B"/>
          <w:sz w:val="32"/>
        </w:rPr>
        <w:t>Drug Compatibility in Syringe Drivers</w:t>
      </w:r>
    </w:p>
    <w:p w14:paraId="42E71B4B" w14:textId="77777777" w:rsidR="00A506B0" w:rsidRDefault="00000000" w:rsidP="00CD1E32">
      <w:pPr>
        <w:spacing w:after="0"/>
      </w:pPr>
      <w:r>
        <w:t>• Check all combinations at www.palliativedrugs.com before mixing</w:t>
      </w:r>
    </w:p>
    <w:p w14:paraId="370EE15E" w14:textId="77777777" w:rsidR="00A506B0" w:rsidRDefault="00000000" w:rsidP="00CD1E32">
      <w:pPr>
        <w:spacing w:after="0"/>
      </w:pPr>
      <w:r>
        <w:t>• Morphine/Diamorphine + Midazolam + Haloperidol + Hyoscine Butylbromide: generally compatible</w:t>
      </w:r>
    </w:p>
    <w:p w14:paraId="50E8AAD0" w14:textId="77777777" w:rsidR="00A506B0" w:rsidRDefault="00000000" w:rsidP="00CD1E32">
      <w:pPr>
        <w:spacing w:after="0"/>
      </w:pPr>
      <w:r>
        <w:t>• Cyclizine: precipitates with many other drugs — use SEPARATE syringe driver</w:t>
      </w:r>
    </w:p>
    <w:p w14:paraId="08EDDB56" w14:textId="77777777" w:rsidR="00A506B0" w:rsidRDefault="00000000" w:rsidP="00CD1E32">
      <w:pPr>
        <w:spacing w:after="0"/>
      </w:pPr>
      <w:r>
        <w:t>• Water for injections required for diamorphine reconstitution</w:t>
      </w:r>
    </w:p>
    <w:p w14:paraId="280429B1" w14:textId="77777777" w:rsidR="00A506B0" w:rsidRDefault="00A506B0" w:rsidP="00CD1E32">
      <w:pPr>
        <w:spacing w:after="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A506B0" w14:paraId="61CAEE8C" w14:textId="77777777">
        <w:tc>
          <w:tcPr>
            <w:tcW w:w="9406" w:type="dxa"/>
            <w:shd w:val="clear" w:color="auto" w:fill="C0392B"/>
          </w:tcPr>
          <w:p w14:paraId="42C02EA9" w14:textId="77777777" w:rsidR="00A506B0" w:rsidRDefault="00000000" w:rsidP="00CD1E32">
            <w:pPr>
              <w:spacing w:after="0"/>
            </w:pPr>
            <w:r>
              <w:rPr>
                <w:b/>
                <w:color w:val="FFFFFF"/>
                <w:sz w:val="20"/>
              </w:rPr>
              <w:t xml:space="preserve">⚠ Disclaimer: </w:t>
            </w:r>
            <w:r>
              <w:rPr>
                <w:color w:val="FFFFFF"/>
                <w:sz w:val="20"/>
              </w:rPr>
              <w:t>Always double check this advice and drug doses with the latest NICE/BNF guidance. This document is for educational purposes only.</w:t>
            </w:r>
          </w:p>
        </w:tc>
      </w:tr>
    </w:tbl>
    <w:p w14:paraId="412E52F1" w14:textId="77777777" w:rsidR="00A506B0" w:rsidRDefault="00A506B0" w:rsidP="00CD1E32">
      <w:pPr>
        <w:spacing w:after="0"/>
      </w:pPr>
    </w:p>
    <w:sectPr w:rsidR="00A506B0" w:rsidSect="00034616">
      <w:footerReference w:type="default" r:id="rId8"/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1B86E" w14:textId="77777777" w:rsidR="00F40592" w:rsidRDefault="00F40592">
      <w:pPr>
        <w:spacing w:after="0" w:line="240" w:lineRule="auto"/>
      </w:pPr>
      <w:r>
        <w:separator/>
      </w:r>
    </w:p>
  </w:endnote>
  <w:endnote w:type="continuationSeparator" w:id="0">
    <w:p w14:paraId="39AF86E5" w14:textId="77777777" w:rsidR="00F40592" w:rsidRDefault="00F40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CE9B7" w14:textId="77777777" w:rsidR="00A506B0" w:rsidRDefault="00000000">
    <w:pPr>
      <w:pStyle w:val="Footer"/>
      <w:jc w:val="center"/>
    </w:pPr>
    <w:r>
      <w:rPr>
        <w:color w:val="666666"/>
        <w:sz w:val="16"/>
      </w:rPr>
      <w:t>A free resource provided by www.bradfordvts.co.uk, Dr Ramesh Mehay, revised June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B7998" w14:textId="77777777" w:rsidR="00F40592" w:rsidRDefault="00F40592">
      <w:pPr>
        <w:spacing w:after="0" w:line="240" w:lineRule="auto"/>
      </w:pPr>
      <w:r>
        <w:separator/>
      </w:r>
    </w:p>
  </w:footnote>
  <w:footnote w:type="continuationSeparator" w:id="0">
    <w:p w14:paraId="714C1E4F" w14:textId="77777777" w:rsidR="00F40592" w:rsidRDefault="00F405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33479766">
    <w:abstractNumId w:val="8"/>
  </w:num>
  <w:num w:numId="2" w16cid:durableId="1587884270">
    <w:abstractNumId w:val="6"/>
  </w:num>
  <w:num w:numId="3" w16cid:durableId="469398395">
    <w:abstractNumId w:val="5"/>
  </w:num>
  <w:num w:numId="4" w16cid:durableId="1648707168">
    <w:abstractNumId w:val="4"/>
  </w:num>
  <w:num w:numId="5" w16cid:durableId="1222206039">
    <w:abstractNumId w:val="7"/>
  </w:num>
  <w:num w:numId="6" w16cid:durableId="456796760">
    <w:abstractNumId w:val="3"/>
  </w:num>
  <w:num w:numId="7" w16cid:durableId="662928446">
    <w:abstractNumId w:val="2"/>
  </w:num>
  <w:num w:numId="8" w16cid:durableId="961420720">
    <w:abstractNumId w:val="1"/>
  </w:num>
  <w:num w:numId="9" w16cid:durableId="345592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A1AD6"/>
    <w:rsid w:val="00A506B0"/>
    <w:rsid w:val="00AA1D8D"/>
    <w:rsid w:val="00B47730"/>
    <w:rsid w:val="00CB0664"/>
    <w:rsid w:val="00CD1E32"/>
    <w:rsid w:val="00F4059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00E8F5"/>
  <w14:defaultImageDpi w14:val="300"/>
  <w15:docId w15:val="{55FEE032-33DD-47F3-AFE3-B5D872D63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380</Words>
  <Characters>2188</Characters>
  <Application>Microsoft Office Word</Application>
  <DocSecurity>0</DocSecurity>
  <Lines>99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Ramesh Mehay</cp:lastModifiedBy>
  <cp:revision>3</cp:revision>
  <dcterms:created xsi:type="dcterms:W3CDTF">2013-12-23T23:15:00Z</dcterms:created>
  <dcterms:modified xsi:type="dcterms:W3CDTF">2026-06-29T22:36:00Z</dcterms:modified>
  <cp:category/>
</cp:coreProperties>
</file>