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88EB20" w14:textId="77777777" w:rsidR="00727404" w:rsidRDefault="00000000">
      <w:pPr>
        <w:pBdr>
          <w:bottom w:val="single" w:sz="2" w:space="6" w:color="E0701A"/>
        </w:pBdr>
        <w:shd w:val="clear" w:color="auto" w:fill="E0701A"/>
        <w:spacing w:line="300" w:lineRule="auto"/>
      </w:pPr>
      <w:r>
        <w:rPr>
          <w:b/>
          <w:bCs/>
          <w:caps/>
          <w:color w:val="FFFFFF"/>
          <w:sz w:val="30"/>
          <w:szCs w:val="30"/>
        </w:rPr>
        <w:t>BRADFORD VTS TEACHING AIDS</w:t>
      </w:r>
    </w:p>
    <w:p w14:paraId="57B0F840" w14:textId="77777777" w:rsidR="00727404" w:rsidRDefault="00000000">
      <w:pPr>
        <w:spacing w:before="120" w:after="60"/>
      </w:pPr>
      <w:r>
        <w:rPr>
          <w:b/>
          <w:bCs/>
          <w:color w:val="5A6470"/>
          <w:sz w:val="22"/>
          <w:szCs w:val="22"/>
        </w:rPr>
        <w:t>June 2026</w:t>
      </w:r>
    </w:p>
    <w:p w14:paraId="3B308FFC" w14:textId="77777777" w:rsidR="00727404" w:rsidRDefault="00000000">
      <w:pPr>
        <w:spacing w:before="60" w:after="40"/>
      </w:pPr>
      <w:r>
        <w:rPr>
          <w:b/>
          <w:bCs/>
          <w:color w:val="16314F"/>
          <w:sz w:val="40"/>
          <w:szCs w:val="40"/>
        </w:rPr>
        <w:t>Emergency Contraception</w:t>
      </w:r>
    </w:p>
    <w:p w14:paraId="51107D21" w14:textId="77777777" w:rsidR="00727404" w:rsidRDefault="00000000">
      <w:pPr>
        <w:spacing w:after="20"/>
      </w:pPr>
      <w:r>
        <w:rPr>
          <w:b/>
          <w:bCs/>
          <w:color w:val="E0701A"/>
          <w:sz w:val="26"/>
          <w:szCs w:val="26"/>
        </w:rPr>
        <w:t>A GP consultation checklist</w:t>
      </w:r>
    </w:p>
    <w:p w14:paraId="009D38E1" w14:textId="77777777" w:rsidR="00727404" w:rsidRDefault="00000000">
      <w:pPr>
        <w:pBdr>
          <w:bottom w:val="single" w:sz="8" w:space="6" w:color="E0701A"/>
        </w:pBdr>
        <w:spacing w:after="160"/>
      </w:pPr>
      <w:r>
        <w:rPr>
          <w:i/>
          <w:iCs/>
          <w:color w:val="5A6470"/>
          <w:sz w:val="22"/>
          <w:szCs w:val="22"/>
        </w:rPr>
        <w:t>What to ask • what to cover for tablets • what to cover for the copper coil</w:t>
      </w:r>
    </w:p>
    <w:p w14:paraId="2A9BB3B5" w14:textId="77777777" w:rsidR="00727404" w:rsidRDefault="00000000">
      <w:pPr>
        <w:spacing w:before="40" w:after="80" w:line="264" w:lineRule="auto"/>
      </w:pPr>
      <w:r>
        <w:t xml:space="preserve">Use this checklist when someone asks for emergency contraception (EC). It has three parts. </w:t>
      </w:r>
      <w:r>
        <w:rPr>
          <w:b/>
          <w:bCs/>
          <w:color w:val="21466E"/>
        </w:rPr>
        <w:t>Part 1</w:t>
      </w:r>
      <w:r>
        <w:t xml:space="preserve"> is for every patient – the questions to ask. </w:t>
      </w:r>
      <w:r>
        <w:rPr>
          <w:b/>
          <w:bCs/>
          <w:color w:val="21466E"/>
        </w:rPr>
        <w:t>Part 2</w:t>
      </w:r>
      <w:r>
        <w:t xml:space="preserve"> is for when you give tablets. </w:t>
      </w:r>
      <w:r>
        <w:rPr>
          <w:b/>
          <w:bCs/>
          <w:color w:val="21466E"/>
        </w:rPr>
        <w:t>Part 3</w:t>
      </w:r>
      <w:r>
        <w:t xml:space="preserve"> is for when you fit a copper coil.</w:t>
      </w:r>
    </w:p>
    <w:tbl>
      <w:tblPr>
        <w:tblW w:w="9026" w:type="dxa"/>
        <w:tblBorders>
          <w:top w:val="none" w:sz="0" w:space="0" w:color="FFFFFF"/>
          <w:left w:val="single" w:sz="24" w:space="0" w:color="2E7D52"/>
          <w:bottom w:val="none" w:sz="0" w:space="0" w:color="FFFFFF"/>
          <w:right w:val="none" w:sz="0" w:space="0" w:color="FFFFFF"/>
          <w:insideH w:val="none" w:sz="0" w:space="0" w:color="FFFFFF"/>
          <w:insideV w:val="none" w:sz="0" w:space="0" w:color="FFFFFF"/>
        </w:tblBorders>
        <w:tblCellMar>
          <w:left w:w="10" w:type="dxa"/>
          <w:right w:w="10" w:type="dxa"/>
        </w:tblCellMar>
        <w:tblLook w:val="04A0" w:firstRow="1" w:lastRow="0" w:firstColumn="1" w:lastColumn="0" w:noHBand="0" w:noVBand="1"/>
      </w:tblPr>
      <w:tblGrid>
        <w:gridCol w:w="9026"/>
      </w:tblGrid>
      <w:tr w:rsidR="00727404" w14:paraId="2D1465DA" w14:textId="77777777">
        <w:tblPrEx>
          <w:tblCellMar>
            <w:top w:w="0" w:type="dxa"/>
            <w:bottom w:w="0" w:type="dxa"/>
          </w:tblCellMar>
        </w:tblPrEx>
        <w:tc>
          <w:tcPr>
            <w:tcW w:w="9026" w:type="dxa"/>
            <w:shd w:val="clear" w:color="auto" w:fill="E7F4ED"/>
            <w:tcMar>
              <w:top w:w="120" w:type="dxa"/>
              <w:left w:w="200" w:type="dxa"/>
              <w:bottom w:w="120" w:type="dxa"/>
              <w:right w:w="160" w:type="dxa"/>
            </w:tcMar>
          </w:tcPr>
          <w:p w14:paraId="3249E16D" w14:textId="77777777" w:rsidR="00727404" w:rsidRDefault="00000000">
            <w:pPr>
              <w:spacing w:after="40"/>
            </w:pPr>
            <w:r>
              <w:rPr>
                <w:b/>
                <w:bCs/>
                <w:color w:val="256A47"/>
              </w:rPr>
              <w:t>The one rule that drives every decision</w:t>
            </w:r>
          </w:p>
          <w:p w14:paraId="5759DA31" w14:textId="77777777" w:rsidR="00727404" w:rsidRDefault="00000000">
            <w:pPr>
              <w:spacing w:line="252" w:lineRule="auto"/>
            </w:pPr>
            <w:r>
              <w:rPr>
                <w:b/>
                <w:bCs/>
                <w:color w:val="256A47"/>
              </w:rPr>
              <w:t>Always offer the copper coil first.</w:t>
            </w:r>
            <w:r>
              <w:rPr>
                <w:sz w:val="20"/>
                <w:szCs w:val="20"/>
              </w:rPr>
              <w:t xml:space="preserve"> It is the most effective method of EC and the only one that still works after ovulation. If it is suitable and acceptable, recommend it. Tablets are the back-up when a coil is declined or not possible.</w:t>
            </w:r>
          </w:p>
        </w:tc>
      </w:tr>
    </w:tbl>
    <w:p w14:paraId="0294287A" w14:textId="77777777" w:rsidR="00727404" w:rsidRDefault="00000000">
      <w:pPr>
        <w:keepNext/>
        <w:spacing w:before="160" w:after="60"/>
      </w:pPr>
      <w:r>
        <w:rPr>
          <w:b/>
          <w:bCs/>
          <w:color w:val="21466E"/>
          <w:sz w:val="23"/>
          <w:szCs w:val="23"/>
        </w:rPr>
        <w:t xml:space="preserve">The three methods </w:t>
      </w:r>
      <w:proofErr w:type="gramStart"/>
      <w:r>
        <w:rPr>
          <w:b/>
          <w:bCs/>
          <w:color w:val="21466E"/>
          <w:sz w:val="23"/>
          <w:szCs w:val="23"/>
        </w:rPr>
        <w:t>at a glance</w:t>
      </w:r>
      <w:proofErr w:type="gramEnd"/>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50"/>
        <w:gridCol w:w="2700"/>
        <w:gridCol w:w="1900"/>
        <w:gridCol w:w="2576"/>
      </w:tblGrid>
      <w:tr w:rsidR="00727404" w14:paraId="1BB86485" w14:textId="77777777">
        <w:tblPrEx>
          <w:tblCellMar>
            <w:top w:w="0" w:type="dxa"/>
            <w:bottom w:w="0" w:type="dxa"/>
          </w:tblCellMar>
        </w:tblPrEx>
        <w:trPr>
          <w:tblHeader/>
        </w:trPr>
        <w:tc>
          <w:tcPr>
            <w:tcW w:w="1850" w:type="dxa"/>
            <w:tcBorders>
              <w:top w:val="single" w:sz="1" w:space="0" w:color="D8DEE6"/>
              <w:left w:val="single" w:sz="1" w:space="0" w:color="D8DEE6"/>
              <w:bottom w:val="single" w:sz="1" w:space="0" w:color="D8DEE6"/>
              <w:right w:val="single" w:sz="1" w:space="0" w:color="D8DEE6"/>
            </w:tcBorders>
            <w:shd w:val="clear" w:color="auto" w:fill="16314F"/>
            <w:tcMar>
              <w:top w:w="70" w:type="dxa"/>
              <w:left w:w="120" w:type="dxa"/>
              <w:bottom w:w="70" w:type="dxa"/>
              <w:right w:w="100" w:type="dxa"/>
            </w:tcMar>
            <w:vAlign w:val="center"/>
          </w:tcPr>
          <w:p w14:paraId="08E1805A" w14:textId="77777777" w:rsidR="00727404" w:rsidRDefault="00000000">
            <w:r>
              <w:rPr>
                <w:b/>
                <w:bCs/>
                <w:color w:val="FFFFFF"/>
                <w:sz w:val="20"/>
                <w:szCs w:val="20"/>
              </w:rPr>
              <w:t>Method</w:t>
            </w:r>
          </w:p>
        </w:tc>
        <w:tc>
          <w:tcPr>
            <w:tcW w:w="2700" w:type="dxa"/>
            <w:tcBorders>
              <w:top w:val="single" w:sz="1" w:space="0" w:color="D8DEE6"/>
              <w:left w:val="single" w:sz="1" w:space="0" w:color="D8DEE6"/>
              <w:bottom w:val="single" w:sz="1" w:space="0" w:color="D8DEE6"/>
              <w:right w:val="single" w:sz="1" w:space="0" w:color="D8DEE6"/>
            </w:tcBorders>
            <w:shd w:val="clear" w:color="auto" w:fill="16314F"/>
            <w:tcMar>
              <w:top w:w="70" w:type="dxa"/>
              <w:left w:w="120" w:type="dxa"/>
              <w:bottom w:w="70" w:type="dxa"/>
              <w:right w:w="100" w:type="dxa"/>
            </w:tcMar>
            <w:vAlign w:val="center"/>
          </w:tcPr>
          <w:p w14:paraId="4E05C0BB" w14:textId="77777777" w:rsidR="00727404" w:rsidRDefault="00000000">
            <w:r>
              <w:rPr>
                <w:b/>
                <w:bCs/>
                <w:color w:val="FFFFFF"/>
                <w:sz w:val="20"/>
                <w:szCs w:val="20"/>
              </w:rPr>
              <w:t>Time window after sex (UPSI)</w:t>
            </w:r>
          </w:p>
        </w:tc>
        <w:tc>
          <w:tcPr>
            <w:tcW w:w="1900" w:type="dxa"/>
            <w:tcBorders>
              <w:top w:val="single" w:sz="1" w:space="0" w:color="D8DEE6"/>
              <w:left w:val="single" w:sz="1" w:space="0" w:color="D8DEE6"/>
              <w:bottom w:val="single" w:sz="1" w:space="0" w:color="D8DEE6"/>
              <w:right w:val="single" w:sz="1" w:space="0" w:color="D8DEE6"/>
            </w:tcBorders>
            <w:shd w:val="clear" w:color="auto" w:fill="16314F"/>
            <w:tcMar>
              <w:top w:w="70" w:type="dxa"/>
              <w:left w:w="120" w:type="dxa"/>
              <w:bottom w:w="70" w:type="dxa"/>
              <w:right w:w="100" w:type="dxa"/>
            </w:tcMar>
            <w:vAlign w:val="center"/>
          </w:tcPr>
          <w:p w14:paraId="4DBFB411" w14:textId="77777777" w:rsidR="00727404" w:rsidRDefault="00000000">
            <w:r>
              <w:rPr>
                <w:b/>
                <w:bCs/>
                <w:color w:val="FFFFFF"/>
                <w:sz w:val="20"/>
                <w:szCs w:val="20"/>
              </w:rPr>
              <w:t>Effectiveness</w:t>
            </w:r>
          </w:p>
        </w:tc>
        <w:tc>
          <w:tcPr>
            <w:tcW w:w="2576" w:type="dxa"/>
            <w:tcBorders>
              <w:top w:val="single" w:sz="1" w:space="0" w:color="D8DEE6"/>
              <w:left w:val="single" w:sz="1" w:space="0" w:color="D8DEE6"/>
              <w:bottom w:val="single" w:sz="1" w:space="0" w:color="D8DEE6"/>
              <w:right w:val="single" w:sz="1" w:space="0" w:color="D8DEE6"/>
            </w:tcBorders>
            <w:shd w:val="clear" w:color="auto" w:fill="16314F"/>
            <w:tcMar>
              <w:top w:w="70" w:type="dxa"/>
              <w:left w:w="120" w:type="dxa"/>
              <w:bottom w:w="70" w:type="dxa"/>
              <w:right w:w="100" w:type="dxa"/>
            </w:tcMar>
            <w:vAlign w:val="center"/>
          </w:tcPr>
          <w:p w14:paraId="4E6BE18B" w14:textId="77777777" w:rsidR="00727404" w:rsidRDefault="00000000">
            <w:r>
              <w:rPr>
                <w:b/>
                <w:bCs/>
                <w:color w:val="FFFFFF"/>
                <w:sz w:val="20"/>
                <w:szCs w:val="20"/>
              </w:rPr>
              <w:t>Key point</w:t>
            </w:r>
          </w:p>
        </w:tc>
      </w:tr>
      <w:tr w:rsidR="00727404" w14:paraId="0404B324" w14:textId="77777777">
        <w:tblPrEx>
          <w:tblCellMar>
            <w:top w:w="0" w:type="dxa"/>
            <w:bottom w:w="0" w:type="dxa"/>
          </w:tblCellMar>
        </w:tblPrEx>
        <w:tc>
          <w:tcPr>
            <w:tcW w:w="1850" w:type="dxa"/>
            <w:tcBorders>
              <w:top w:val="single" w:sz="1" w:space="0" w:color="D8DEE6"/>
              <w:left w:val="single" w:sz="1" w:space="0" w:color="D8DEE6"/>
              <w:bottom w:val="single" w:sz="1" w:space="0" w:color="D8DEE6"/>
              <w:right w:val="single" w:sz="1" w:space="0" w:color="D8DEE6"/>
            </w:tcBorders>
            <w:shd w:val="clear" w:color="auto" w:fill="FFFFFF"/>
            <w:tcMar>
              <w:top w:w="60" w:type="dxa"/>
              <w:left w:w="120" w:type="dxa"/>
              <w:bottom w:w="60" w:type="dxa"/>
              <w:right w:w="100" w:type="dxa"/>
            </w:tcMar>
          </w:tcPr>
          <w:p w14:paraId="0BF4FFB0" w14:textId="77777777" w:rsidR="00727404" w:rsidRDefault="00000000">
            <w:pPr>
              <w:spacing w:line="248" w:lineRule="auto"/>
            </w:pPr>
            <w:r>
              <w:rPr>
                <w:b/>
                <w:bCs/>
                <w:color w:val="16314F"/>
                <w:sz w:val="20"/>
                <w:szCs w:val="20"/>
              </w:rPr>
              <w:t>Copper coil</w:t>
            </w:r>
            <w:r>
              <w:rPr>
                <w:color w:val="5A6470"/>
                <w:sz w:val="18"/>
                <w:szCs w:val="18"/>
              </w:rPr>
              <w:t xml:space="preserve"> (Cu-IUD)</w:t>
            </w:r>
          </w:p>
        </w:tc>
        <w:tc>
          <w:tcPr>
            <w:tcW w:w="2700" w:type="dxa"/>
            <w:tcBorders>
              <w:top w:val="single" w:sz="1" w:space="0" w:color="D8DEE6"/>
              <w:left w:val="single" w:sz="1" w:space="0" w:color="D8DEE6"/>
              <w:bottom w:val="single" w:sz="1" w:space="0" w:color="D8DEE6"/>
              <w:right w:val="single" w:sz="1" w:space="0" w:color="D8DEE6"/>
            </w:tcBorders>
            <w:shd w:val="clear" w:color="auto" w:fill="FFFFFF"/>
            <w:tcMar>
              <w:top w:w="60" w:type="dxa"/>
              <w:left w:w="120" w:type="dxa"/>
              <w:bottom w:w="60" w:type="dxa"/>
              <w:right w:w="100" w:type="dxa"/>
            </w:tcMar>
          </w:tcPr>
          <w:p w14:paraId="5101AD59" w14:textId="77777777" w:rsidR="00727404" w:rsidRDefault="00000000">
            <w:pPr>
              <w:spacing w:line="248" w:lineRule="auto"/>
            </w:pPr>
            <w:r>
              <w:rPr>
                <w:sz w:val="20"/>
                <w:szCs w:val="20"/>
              </w:rPr>
              <w:t>Up to 5 days after the FIRST sex this cycle, OR up to 5 days after the earliest likely ovulation – whichever is later</w:t>
            </w:r>
          </w:p>
        </w:tc>
        <w:tc>
          <w:tcPr>
            <w:tcW w:w="1900" w:type="dxa"/>
            <w:tcBorders>
              <w:top w:val="single" w:sz="1" w:space="0" w:color="D8DEE6"/>
              <w:left w:val="single" w:sz="1" w:space="0" w:color="D8DEE6"/>
              <w:bottom w:val="single" w:sz="1" w:space="0" w:color="D8DEE6"/>
              <w:right w:val="single" w:sz="1" w:space="0" w:color="D8DEE6"/>
            </w:tcBorders>
            <w:shd w:val="clear" w:color="auto" w:fill="FFFFFF"/>
            <w:tcMar>
              <w:top w:w="60" w:type="dxa"/>
              <w:left w:w="120" w:type="dxa"/>
              <w:bottom w:w="60" w:type="dxa"/>
              <w:right w:w="100" w:type="dxa"/>
            </w:tcMar>
          </w:tcPr>
          <w:p w14:paraId="486401D4" w14:textId="77777777" w:rsidR="00727404" w:rsidRDefault="00000000">
            <w:pPr>
              <w:spacing w:line="248" w:lineRule="auto"/>
            </w:pPr>
            <w:r>
              <w:rPr>
                <w:b/>
                <w:bCs/>
                <w:color w:val="256A47"/>
                <w:sz w:val="20"/>
                <w:szCs w:val="20"/>
              </w:rPr>
              <w:t>Most effective</w:t>
            </w:r>
            <w:r>
              <w:rPr>
                <w:sz w:val="20"/>
                <w:szCs w:val="20"/>
              </w:rPr>
              <w:t xml:space="preserve"> (~99.9%)</w:t>
            </w:r>
          </w:p>
        </w:tc>
        <w:tc>
          <w:tcPr>
            <w:tcW w:w="2576" w:type="dxa"/>
            <w:tcBorders>
              <w:top w:val="single" w:sz="1" w:space="0" w:color="D8DEE6"/>
              <w:left w:val="single" w:sz="1" w:space="0" w:color="D8DEE6"/>
              <w:bottom w:val="single" w:sz="1" w:space="0" w:color="D8DEE6"/>
              <w:right w:val="single" w:sz="1" w:space="0" w:color="D8DEE6"/>
            </w:tcBorders>
            <w:shd w:val="clear" w:color="auto" w:fill="FFFFFF"/>
            <w:tcMar>
              <w:top w:w="60" w:type="dxa"/>
              <w:left w:w="120" w:type="dxa"/>
              <w:bottom w:w="60" w:type="dxa"/>
              <w:right w:w="100" w:type="dxa"/>
            </w:tcMar>
          </w:tcPr>
          <w:p w14:paraId="3FA6FB55" w14:textId="77777777" w:rsidR="00727404" w:rsidRDefault="00000000">
            <w:pPr>
              <w:spacing w:line="248" w:lineRule="auto"/>
            </w:pPr>
            <w:r>
              <w:rPr>
                <w:sz w:val="20"/>
                <w:szCs w:val="20"/>
              </w:rPr>
              <w:t>Works immediately. Stays in for ongoing contraception. Unaffected by weight.</w:t>
            </w:r>
          </w:p>
        </w:tc>
      </w:tr>
      <w:tr w:rsidR="00727404" w14:paraId="0EF94F8E" w14:textId="77777777">
        <w:tblPrEx>
          <w:tblCellMar>
            <w:top w:w="0" w:type="dxa"/>
            <w:bottom w:w="0" w:type="dxa"/>
          </w:tblCellMar>
        </w:tblPrEx>
        <w:tc>
          <w:tcPr>
            <w:tcW w:w="1850" w:type="dxa"/>
            <w:tcBorders>
              <w:top w:val="single" w:sz="1" w:space="0" w:color="D8DEE6"/>
              <w:left w:val="single" w:sz="1" w:space="0" w:color="D8DEE6"/>
              <w:bottom w:val="single" w:sz="1" w:space="0" w:color="D8DEE6"/>
              <w:right w:val="single" w:sz="1" w:space="0" w:color="D8DEE6"/>
            </w:tcBorders>
            <w:shd w:val="clear" w:color="auto" w:fill="F4F7FB"/>
            <w:tcMar>
              <w:top w:w="60" w:type="dxa"/>
              <w:left w:w="120" w:type="dxa"/>
              <w:bottom w:w="60" w:type="dxa"/>
              <w:right w:w="100" w:type="dxa"/>
            </w:tcMar>
          </w:tcPr>
          <w:p w14:paraId="43591597" w14:textId="77777777" w:rsidR="00727404" w:rsidRDefault="00000000">
            <w:pPr>
              <w:spacing w:line="248" w:lineRule="auto"/>
            </w:pPr>
            <w:r>
              <w:rPr>
                <w:b/>
                <w:bCs/>
                <w:color w:val="16314F"/>
                <w:sz w:val="20"/>
                <w:szCs w:val="20"/>
              </w:rPr>
              <w:t>Ulipristal acetate</w:t>
            </w:r>
            <w:r>
              <w:rPr>
                <w:color w:val="5A6470"/>
                <w:sz w:val="18"/>
                <w:szCs w:val="18"/>
              </w:rPr>
              <w:t xml:space="preserve"> (UPA-EC, 30 mg)</w:t>
            </w:r>
          </w:p>
        </w:tc>
        <w:tc>
          <w:tcPr>
            <w:tcW w:w="2700" w:type="dxa"/>
            <w:tcBorders>
              <w:top w:val="single" w:sz="1" w:space="0" w:color="D8DEE6"/>
              <w:left w:val="single" w:sz="1" w:space="0" w:color="D8DEE6"/>
              <w:bottom w:val="single" w:sz="1" w:space="0" w:color="D8DEE6"/>
              <w:right w:val="single" w:sz="1" w:space="0" w:color="D8DEE6"/>
            </w:tcBorders>
            <w:shd w:val="clear" w:color="auto" w:fill="F4F7FB"/>
            <w:tcMar>
              <w:top w:w="60" w:type="dxa"/>
              <w:left w:w="120" w:type="dxa"/>
              <w:bottom w:w="60" w:type="dxa"/>
              <w:right w:w="100" w:type="dxa"/>
            </w:tcMar>
          </w:tcPr>
          <w:p w14:paraId="4B9E0D75" w14:textId="77777777" w:rsidR="00727404" w:rsidRDefault="00000000">
            <w:pPr>
              <w:spacing w:line="248" w:lineRule="auto"/>
            </w:pPr>
            <w:r>
              <w:rPr>
                <w:sz w:val="20"/>
                <w:szCs w:val="20"/>
              </w:rPr>
              <w:t>Up to 120 hours (5 days)</w:t>
            </w:r>
          </w:p>
        </w:tc>
        <w:tc>
          <w:tcPr>
            <w:tcW w:w="1900" w:type="dxa"/>
            <w:tcBorders>
              <w:top w:val="single" w:sz="1" w:space="0" w:color="D8DEE6"/>
              <w:left w:val="single" w:sz="1" w:space="0" w:color="D8DEE6"/>
              <w:bottom w:val="single" w:sz="1" w:space="0" w:color="D8DEE6"/>
              <w:right w:val="single" w:sz="1" w:space="0" w:color="D8DEE6"/>
            </w:tcBorders>
            <w:shd w:val="clear" w:color="auto" w:fill="F4F7FB"/>
            <w:tcMar>
              <w:top w:w="60" w:type="dxa"/>
              <w:left w:w="120" w:type="dxa"/>
              <w:bottom w:w="60" w:type="dxa"/>
              <w:right w:w="100" w:type="dxa"/>
            </w:tcMar>
          </w:tcPr>
          <w:p w14:paraId="097725E9" w14:textId="77777777" w:rsidR="00727404" w:rsidRDefault="00000000">
            <w:pPr>
              <w:spacing w:line="248" w:lineRule="auto"/>
            </w:pPr>
            <w:r>
              <w:rPr>
                <w:b/>
                <w:bCs/>
                <w:color w:val="1B5E92"/>
                <w:sz w:val="20"/>
                <w:szCs w:val="20"/>
              </w:rPr>
              <w:t>First-line tablet</w:t>
            </w:r>
            <w:r>
              <w:rPr>
                <w:sz w:val="20"/>
                <w:szCs w:val="20"/>
              </w:rPr>
              <w:t>; more effective than levonorgestrel</w:t>
            </w:r>
          </w:p>
        </w:tc>
        <w:tc>
          <w:tcPr>
            <w:tcW w:w="2576" w:type="dxa"/>
            <w:tcBorders>
              <w:top w:val="single" w:sz="1" w:space="0" w:color="D8DEE6"/>
              <w:left w:val="single" w:sz="1" w:space="0" w:color="D8DEE6"/>
              <w:bottom w:val="single" w:sz="1" w:space="0" w:color="D8DEE6"/>
              <w:right w:val="single" w:sz="1" w:space="0" w:color="D8DEE6"/>
            </w:tcBorders>
            <w:shd w:val="clear" w:color="auto" w:fill="F4F7FB"/>
            <w:tcMar>
              <w:top w:w="60" w:type="dxa"/>
              <w:left w:w="120" w:type="dxa"/>
              <w:bottom w:w="60" w:type="dxa"/>
              <w:right w:w="100" w:type="dxa"/>
            </w:tcMar>
          </w:tcPr>
          <w:p w14:paraId="3AF61E68" w14:textId="77777777" w:rsidR="00727404" w:rsidRDefault="00000000">
            <w:pPr>
              <w:spacing w:line="248" w:lineRule="auto"/>
            </w:pPr>
            <w:r>
              <w:rPr>
                <w:sz w:val="20"/>
                <w:szCs w:val="20"/>
              </w:rPr>
              <w:t>Can still delay ovulation when the LH surge has begun. Single 30 mg dose.</w:t>
            </w:r>
          </w:p>
        </w:tc>
      </w:tr>
      <w:tr w:rsidR="00727404" w14:paraId="7DC7D1C7" w14:textId="77777777">
        <w:tblPrEx>
          <w:tblCellMar>
            <w:top w:w="0" w:type="dxa"/>
            <w:bottom w:w="0" w:type="dxa"/>
          </w:tblCellMar>
        </w:tblPrEx>
        <w:tc>
          <w:tcPr>
            <w:tcW w:w="1850" w:type="dxa"/>
            <w:tcBorders>
              <w:top w:val="single" w:sz="1" w:space="0" w:color="D8DEE6"/>
              <w:left w:val="single" w:sz="1" w:space="0" w:color="D8DEE6"/>
              <w:bottom w:val="single" w:sz="1" w:space="0" w:color="D8DEE6"/>
              <w:right w:val="single" w:sz="1" w:space="0" w:color="D8DEE6"/>
            </w:tcBorders>
            <w:shd w:val="clear" w:color="auto" w:fill="FFFFFF"/>
            <w:tcMar>
              <w:top w:w="60" w:type="dxa"/>
              <w:left w:w="120" w:type="dxa"/>
              <w:bottom w:w="60" w:type="dxa"/>
              <w:right w:w="100" w:type="dxa"/>
            </w:tcMar>
          </w:tcPr>
          <w:p w14:paraId="0D6DB0EA" w14:textId="77777777" w:rsidR="00727404" w:rsidRDefault="00000000">
            <w:pPr>
              <w:spacing w:line="248" w:lineRule="auto"/>
            </w:pPr>
            <w:r>
              <w:rPr>
                <w:b/>
                <w:bCs/>
                <w:color w:val="16314F"/>
                <w:sz w:val="20"/>
                <w:szCs w:val="20"/>
              </w:rPr>
              <w:t>Levonorgestrel</w:t>
            </w:r>
            <w:r>
              <w:rPr>
                <w:color w:val="5A6470"/>
                <w:sz w:val="18"/>
                <w:szCs w:val="18"/>
              </w:rPr>
              <w:t xml:space="preserve"> (LNG-EC, 1.5 mg)</w:t>
            </w:r>
          </w:p>
        </w:tc>
        <w:tc>
          <w:tcPr>
            <w:tcW w:w="2700" w:type="dxa"/>
            <w:tcBorders>
              <w:top w:val="single" w:sz="1" w:space="0" w:color="D8DEE6"/>
              <w:left w:val="single" w:sz="1" w:space="0" w:color="D8DEE6"/>
              <w:bottom w:val="single" w:sz="1" w:space="0" w:color="D8DEE6"/>
              <w:right w:val="single" w:sz="1" w:space="0" w:color="D8DEE6"/>
            </w:tcBorders>
            <w:shd w:val="clear" w:color="auto" w:fill="FFFFFF"/>
            <w:tcMar>
              <w:top w:w="60" w:type="dxa"/>
              <w:left w:w="120" w:type="dxa"/>
              <w:bottom w:w="60" w:type="dxa"/>
              <w:right w:w="100" w:type="dxa"/>
            </w:tcMar>
          </w:tcPr>
          <w:p w14:paraId="4428A892" w14:textId="77777777" w:rsidR="00727404" w:rsidRDefault="00000000">
            <w:pPr>
              <w:spacing w:line="248" w:lineRule="auto"/>
            </w:pPr>
            <w:r>
              <w:rPr>
                <w:sz w:val="20"/>
                <w:szCs w:val="20"/>
              </w:rPr>
              <w:t>Licensed up to 72 hours. Ineffective after 96 hours.</w:t>
            </w:r>
          </w:p>
        </w:tc>
        <w:tc>
          <w:tcPr>
            <w:tcW w:w="1900" w:type="dxa"/>
            <w:tcBorders>
              <w:top w:val="single" w:sz="1" w:space="0" w:color="D8DEE6"/>
              <w:left w:val="single" w:sz="1" w:space="0" w:color="D8DEE6"/>
              <w:bottom w:val="single" w:sz="1" w:space="0" w:color="D8DEE6"/>
              <w:right w:val="single" w:sz="1" w:space="0" w:color="D8DEE6"/>
            </w:tcBorders>
            <w:shd w:val="clear" w:color="auto" w:fill="FFFFFF"/>
            <w:tcMar>
              <w:top w:w="60" w:type="dxa"/>
              <w:left w:w="120" w:type="dxa"/>
              <w:bottom w:w="60" w:type="dxa"/>
              <w:right w:w="100" w:type="dxa"/>
            </w:tcMar>
          </w:tcPr>
          <w:p w14:paraId="66D7BF48" w14:textId="77777777" w:rsidR="00727404" w:rsidRDefault="00000000">
            <w:pPr>
              <w:spacing w:line="248" w:lineRule="auto"/>
            </w:pPr>
            <w:r>
              <w:rPr>
                <w:sz w:val="20"/>
                <w:szCs w:val="20"/>
              </w:rPr>
              <w:t>Least effective of the three</w:t>
            </w:r>
          </w:p>
        </w:tc>
        <w:tc>
          <w:tcPr>
            <w:tcW w:w="2576" w:type="dxa"/>
            <w:tcBorders>
              <w:top w:val="single" w:sz="1" w:space="0" w:color="D8DEE6"/>
              <w:left w:val="single" w:sz="1" w:space="0" w:color="D8DEE6"/>
              <w:bottom w:val="single" w:sz="1" w:space="0" w:color="D8DEE6"/>
              <w:right w:val="single" w:sz="1" w:space="0" w:color="D8DEE6"/>
            </w:tcBorders>
            <w:shd w:val="clear" w:color="auto" w:fill="FFFFFF"/>
            <w:tcMar>
              <w:top w:w="60" w:type="dxa"/>
              <w:left w:w="120" w:type="dxa"/>
              <w:bottom w:w="60" w:type="dxa"/>
              <w:right w:w="100" w:type="dxa"/>
            </w:tcMar>
          </w:tcPr>
          <w:p w14:paraId="7DD2099D" w14:textId="77777777" w:rsidR="00727404" w:rsidRDefault="00000000">
            <w:pPr>
              <w:spacing w:line="248" w:lineRule="auto"/>
            </w:pPr>
            <w:r>
              <w:rPr>
                <w:sz w:val="20"/>
                <w:szCs w:val="20"/>
              </w:rPr>
              <w:t>Double the dose to 3 mg if BMI &gt; 26 / weight &gt; 70 kg, or on enzyme-inducing drugs.</w:t>
            </w:r>
          </w:p>
        </w:tc>
      </w:tr>
    </w:tbl>
    <w:p w14:paraId="75C7C855" w14:textId="77777777" w:rsidR="00727404" w:rsidRDefault="00000000">
      <w:pPr>
        <w:spacing w:before="60" w:after="120"/>
      </w:pPr>
      <w:r>
        <w:rPr>
          <w:i/>
          <w:iCs/>
          <w:color w:val="5A6470"/>
          <w:sz w:val="18"/>
          <w:szCs w:val="18"/>
        </w:rPr>
        <w:t>Source: FSRH Emergency Contraception (March 2017, amended April 2026); NICE CKS Contraception – emergency (2024). Doses: BNF / product SPCs (</w:t>
      </w:r>
      <w:proofErr w:type="spellStart"/>
      <w:r>
        <w:rPr>
          <w:i/>
          <w:iCs/>
          <w:color w:val="5A6470"/>
          <w:sz w:val="18"/>
          <w:szCs w:val="18"/>
        </w:rPr>
        <w:t>ellaOne</w:t>
      </w:r>
      <w:proofErr w:type="spellEnd"/>
      <w:r>
        <w:rPr>
          <w:i/>
          <w:iCs/>
          <w:color w:val="5A6470"/>
          <w:sz w:val="18"/>
          <w:szCs w:val="18"/>
        </w:rPr>
        <w:t xml:space="preserve"> 30 mg; </w:t>
      </w:r>
      <w:proofErr w:type="spellStart"/>
      <w:r>
        <w:rPr>
          <w:i/>
          <w:iCs/>
          <w:color w:val="5A6470"/>
          <w:sz w:val="18"/>
          <w:szCs w:val="18"/>
        </w:rPr>
        <w:t>Levonelle</w:t>
      </w:r>
      <w:proofErr w:type="spellEnd"/>
      <w:r>
        <w:rPr>
          <w:i/>
          <w:iCs/>
          <w:color w:val="5A6470"/>
          <w:sz w:val="18"/>
          <w:szCs w:val="18"/>
        </w:rPr>
        <w:t xml:space="preserve"> 1.5 mg).</w:t>
      </w:r>
    </w:p>
    <w:tbl>
      <w:tblPr>
        <w:tblW w:w="9026" w:type="dxa"/>
        <w:tblBorders>
          <w:top w:val="none" w:sz="0" w:space="0" w:color="FFFFFF"/>
          <w:left w:val="single" w:sz="24" w:space="0" w:color="C0392B"/>
          <w:bottom w:val="none" w:sz="0" w:space="0" w:color="FFFFFF"/>
          <w:right w:val="none" w:sz="0" w:space="0" w:color="FFFFFF"/>
          <w:insideH w:val="none" w:sz="0" w:space="0" w:color="FFFFFF"/>
          <w:insideV w:val="none" w:sz="0" w:space="0" w:color="FFFFFF"/>
        </w:tblBorders>
        <w:tblCellMar>
          <w:left w:w="10" w:type="dxa"/>
          <w:right w:w="10" w:type="dxa"/>
        </w:tblCellMar>
        <w:tblLook w:val="04A0" w:firstRow="1" w:lastRow="0" w:firstColumn="1" w:lastColumn="0" w:noHBand="0" w:noVBand="1"/>
      </w:tblPr>
      <w:tblGrid>
        <w:gridCol w:w="9026"/>
      </w:tblGrid>
      <w:tr w:rsidR="00727404" w14:paraId="6DD272C4" w14:textId="77777777">
        <w:tblPrEx>
          <w:tblCellMar>
            <w:top w:w="0" w:type="dxa"/>
            <w:bottom w:w="0" w:type="dxa"/>
          </w:tblCellMar>
        </w:tblPrEx>
        <w:tc>
          <w:tcPr>
            <w:tcW w:w="9026" w:type="dxa"/>
            <w:shd w:val="clear" w:color="auto" w:fill="FBEBE8"/>
            <w:tcMar>
              <w:top w:w="120" w:type="dxa"/>
              <w:left w:w="200" w:type="dxa"/>
              <w:bottom w:w="120" w:type="dxa"/>
              <w:right w:w="160" w:type="dxa"/>
            </w:tcMar>
          </w:tcPr>
          <w:p w14:paraId="0C5D6DA0" w14:textId="77777777" w:rsidR="00727404" w:rsidRDefault="00000000">
            <w:pPr>
              <w:spacing w:after="40"/>
            </w:pPr>
            <w:r>
              <w:rPr>
                <w:b/>
                <w:bCs/>
                <w:color w:val="B23A2E"/>
              </w:rPr>
              <w:t>Remember after ANY tablet</w:t>
            </w:r>
          </w:p>
          <w:p w14:paraId="774359A1" w14:textId="77777777" w:rsidR="00727404" w:rsidRDefault="00000000">
            <w:pPr>
              <w:spacing w:line="252" w:lineRule="auto"/>
            </w:pPr>
            <w:r>
              <w:rPr>
                <w:sz w:val="20"/>
                <w:szCs w:val="20"/>
              </w:rPr>
              <w:t>Tablets do NOT cover sex that happens later in the cycle. The patient must use contraception or abstain until her next period. UPA</w:t>
            </w:r>
            <w:proofErr w:type="gramStart"/>
            <w:r>
              <w:rPr>
                <w:sz w:val="20"/>
                <w:szCs w:val="20"/>
              </w:rPr>
              <w:t>, in particular, only</w:t>
            </w:r>
            <w:proofErr w:type="gramEnd"/>
            <w:r>
              <w:rPr>
                <w:sz w:val="20"/>
                <w:szCs w:val="20"/>
              </w:rPr>
              <w:t xml:space="preserve"> delays ovulation – so she can still ovulate (and conceive) later this cycle.</w:t>
            </w:r>
          </w:p>
        </w:tc>
      </w:tr>
    </w:tbl>
    <w:p w14:paraId="3D89BE04" w14:textId="7B26CB84" w:rsidR="007E09DC" w:rsidRDefault="007E09DC">
      <w:pPr>
        <w:spacing w:after="200"/>
      </w:pPr>
    </w:p>
    <w:p w14:paraId="1A5A7224" w14:textId="77777777" w:rsidR="007E09DC" w:rsidRDefault="007E09DC">
      <w:r>
        <w:br w:type="page"/>
      </w:r>
    </w:p>
    <w:p w14:paraId="0E26A223" w14:textId="77777777" w:rsidR="00727404" w:rsidRDefault="00727404">
      <w:pPr>
        <w:spacing w:after="200"/>
      </w:pPr>
    </w:p>
    <w:tbl>
      <w:tblPr>
        <w:tblW w:w="902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4A0" w:firstRow="1" w:lastRow="0" w:firstColumn="1" w:lastColumn="0" w:noHBand="0" w:noVBand="1"/>
      </w:tblPr>
      <w:tblGrid>
        <w:gridCol w:w="760"/>
        <w:gridCol w:w="8266"/>
      </w:tblGrid>
      <w:tr w:rsidR="00727404" w14:paraId="08E635B5" w14:textId="77777777">
        <w:tblPrEx>
          <w:tblCellMar>
            <w:top w:w="0" w:type="dxa"/>
            <w:bottom w:w="0" w:type="dxa"/>
          </w:tblCellMar>
        </w:tblPrEx>
        <w:tc>
          <w:tcPr>
            <w:tcW w:w="760" w:type="dxa"/>
            <w:shd w:val="clear" w:color="auto" w:fill="E0701A"/>
            <w:tcMar>
              <w:top w:w="60" w:type="dxa"/>
              <w:left w:w="40" w:type="dxa"/>
              <w:bottom w:w="60" w:type="dxa"/>
              <w:right w:w="40" w:type="dxa"/>
            </w:tcMar>
            <w:vAlign w:val="center"/>
          </w:tcPr>
          <w:p w14:paraId="684B802F" w14:textId="77777777" w:rsidR="00727404" w:rsidRDefault="00000000">
            <w:pPr>
              <w:jc w:val="center"/>
            </w:pPr>
            <w:r>
              <w:rPr>
                <w:b/>
                <w:bCs/>
                <w:color w:val="FFFFFF"/>
                <w:sz w:val="30"/>
                <w:szCs w:val="30"/>
              </w:rPr>
              <w:t>1</w:t>
            </w:r>
          </w:p>
        </w:tc>
        <w:tc>
          <w:tcPr>
            <w:tcW w:w="8266" w:type="dxa"/>
            <w:shd w:val="clear" w:color="auto" w:fill="16314F"/>
            <w:tcMar>
              <w:top w:w="60" w:type="dxa"/>
              <w:left w:w="160" w:type="dxa"/>
              <w:bottom w:w="60" w:type="dxa"/>
              <w:right w:w="120" w:type="dxa"/>
            </w:tcMar>
            <w:vAlign w:val="center"/>
          </w:tcPr>
          <w:p w14:paraId="33817805" w14:textId="77777777" w:rsidR="00727404" w:rsidRDefault="00000000">
            <w:r>
              <w:rPr>
                <w:b/>
                <w:bCs/>
                <w:caps/>
                <w:color w:val="FFFFFF"/>
                <w:sz w:val="24"/>
                <w:szCs w:val="24"/>
              </w:rPr>
              <w:t>Assess – ask this of everyone requesting EC</w:t>
            </w:r>
          </w:p>
        </w:tc>
      </w:tr>
    </w:tbl>
    <w:p w14:paraId="02A704B9" w14:textId="77777777" w:rsidR="00727404" w:rsidRDefault="00727404">
      <w:pPr>
        <w:spacing w:after="60"/>
      </w:pPr>
    </w:p>
    <w:p w14:paraId="5C6CE7E0" w14:textId="77777777" w:rsidR="00727404" w:rsidRDefault="00000000">
      <w:pPr>
        <w:keepNext/>
        <w:spacing w:before="160" w:after="60"/>
      </w:pPr>
      <w:r>
        <w:rPr>
          <w:b/>
          <w:bCs/>
          <w:color w:val="21466E"/>
          <w:sz w:val="23"/>
          <w:szCs w:val="23"/>
        </w:rPr>
        <w:t>Pregnancy risk – work out the timing</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9"/>
        <w:gridCol w:w="490"/>
        <w:gridCol w:w="8478"/>
        <w:gridCol w:w="29"/>
      </w:tblGrid>
      <w:tr w:rsidR="00727404" w14:paraId="5823E2C8" w14:textId="77777777">
        <w:tblPrEx>
          <w:tblCellMar>
            <w:top w:w="0" w:type="dxa"/>
            <w:bottom w:w="0" w:type="dxa"/>
          </w:tblCellMar>
        </w:tblPrEx>
        <w:trPr>
          <w:gridAfter w:val="1"/>
          <w:wAfter w:w="29" w:type="dxa"/>
        </w:trPr>
        <w:tc>
          <w:tcPr>
            <w:tcW w:w="520" w:type="dxa"/>
            <w:gridSpan w:val="2"/>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59085ED5"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312AF5C9" w14:textId="77777777" w:rsidR="00727404" w:rsidRDefault="00000000">
            <w:pPr>
              <w:spacing w:line="252" w:lineRule="auto"/>
            </w:pPr>
            <w:r>
              <w:rPr>
                <w:b/>
                <w:bCs/>
              </w:rPr>
              <w:t>Date of last menstrual period (LMP)</w:t>
            </w:r>
            <w:r>
              <w:t xml:space="preserve"> – and is this period normal for her?</w:t>
            </w:r>
          </w:p>
        </w:tc>
      </w:tr>
      <w:tr w:rsidR="00727404" w14:paraId="72987E84" w14:textId="77777777">
        <w:tblPrEx>
          <w:tblCellMar>
            <w:top w:w="0" w:type="dxa"/>
            <w:bottom w:w="0" w:type="dxa"/>
          </w:tblCellMar>
        </w:tblPrEx>
        <w:trPr>
          <w:gridAfter w:val="1"/>
          <w:wAfter w:w="29" w:type="dxa"/>
        </w:trPr>
        <w:tc>
          <w:tcPr>
            <w:tcW w:w="520" w:type="dxa"/>
            <w:gridSpan w:val="2"/>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73BFE66C"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23F7C049" w14:textId="77777777" w:rsidR="00727404" w:rsidRDefault="00000000">
            <w:pPr>
              <w:spacing w:line="252" w:lineRule="auto"/>
            </w:pPr>
            <w:r>
              <w:t>Usual cycle length and whether her cycle is regular or irregular.</w:t>
            </w:r>
          </w:p>
        </w:tc>
      </w:tr>
      <w:tr w:rsidR="00727404" w14:paraId="0FFA4F5D" w14:textId="77777777">
        <w:tblPrEx>
          <w:tblCellMar>
            <w:top w:w="0" w:type="dxa"/>
            <w:bottom w:w="0" w:type="dxa"/>
          </w:tblCellMar>
        </w:tblPrEx>
        <w:trPr>
          <w:gridAfter w:val="1"/>
          <w:wAfter w:w="29" w:type="dxa"/>
        </w:trPr>
        <w:tc>
          <w:tcPr>
            <w:tcW w:w="520" w:type="dxa"/>
            <w:gridSpan w:val="2"/>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5F3A9187"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64EDC062" w14:textId="77777777" w:rsidR="00727404" w:rsidRDefault="00000000">
            <w:pPr>
              <w:spacing w:line="252" w:lineRule="auto"/>
            </w:pPr>
            <w:r>
              <w:t xml:space="preserve">Date and time of </w:t>
            </w:r>
            <w:r>
              <w:rPr>
                <w:b/>
                <w:bCs/>
              </w:rPr>
              <w:t>every</w:t>
            </w:r>
            <w:r>
              <w:t xml:space="preserve"> episode of unprotected sex (UPSI) this cycle – not just the most recent one.</w:t>
            </w:r>
          </w:p>
        </w:tc>
      </w:tr>
      <w:tr w:rsidR="00727404" w14:paraId="0820B2D4" w14:textId="77777777">
        <w:tblPrEx>
          <w:tblCellMar>
            <w:top w:w="0" w:type="dxa"/>
            <w:bottom w:w="0" w:type="dxa"/>
          </w:tblCellMar>
        </w:tblPrEx>
        <w:trPr>
          <w:gridAfter w:val="1"/>
          <w:wAfter w:w="29" w:type="dxa"/>
        </w:trPr>
        <w:tc>
          <w:tcPr>
            <w:tcW w:w="520" w:type="dxa"/>
            <w:gridSpan w:val="2"/>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10C35B82"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319A50F6" w14:textId="77777777" w:rsidR="00727404" w:rsidRDefault="00000000">
            <w:pPr>
              <w:spacing w:line="252" w:lineRule="auto"/>
            </w:pPr>
            <w:r>
              <w:t>How many hours/days since the FIRST episode of UPSI this cycle (this sets the time window).</w:t>
            </w:r>
          </w:p>
        </w:tc>
      </w:tr>
      <w:tr w:rsidR="00727404" w14:paraId="460C507C" w14:textId="77777777">
        <w:tblPrEx>
          <w:tblCellMar>
            <w:top w:w="0" w:type="dxa"/>
            <w:bottom w:w="0" w:type="dxa"/>
          </w:tblCellMar>
        </w:tblPrEx>
        <w:trPr>
          <w:gridAfter w:val="1"/>
          <w:wAfter w:w="29" w:type="dxa"/>
        </w:trPr>
        <w:tc>
          <w:tcPr>
            <w:tcW w:w="520" w:type="dxa"/>
            <w:gridSpan w:val="2"/>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6979311A"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695D9439" w14:textId="77777777" w:rsidR="00727404" w:rsidRDefault="00000000">
            <w:pPr>
              <w:spacing w:line="252" w:lineRule="auto"/>
            </w:pPr>
            <w:r>
              <w:rPr>
                <w:b/>
                <w:bCs/>
              </w:rPr>
              <w:t>Could she already be pregnant?</w:t>
            </w:r>
            <w:r>
              <w:t xml:space="preserve"> Ask about earlier UPSI this cycle. Tablets must not be relied on if pregnancy cannot be excluded – and EC will not end an existing pregnancy.</w:t>
            </w:r>
          </w:p>
        </w:tc>
      </w:tr>
      <w:tr w:rsidR="00727404" w14:paraId="0D5E626A" w14:textId="77777777">
        <w:tblPrEx>
          <w:tblBorders>
            <w:top w:val="none" w:sz="0" w:space="0" w:color="FFFFFF"/>
            <w:left w:val="single" w:sz="24" w:space="0" w:color="1F6FB2"/>
            <w:bottom w:val="none" w:sz="0" w:space="0" w:color="FFFFFF"/>
            <w:right w:val="none" w:sz="0" w:space="0" w:color="FFFFFF"/>
            <w:insideH w:val="none" w:sz="0" w:space="0" w:color="FFFFFF"/>
            <w:insideV w:val="none" w:sz="0" w:space="0" w:color="FFFFFF"/>
          </w:tblBorders>
          <w:tblCellMar>
            <w:top w:w="0" w:type="dxa"/>
            <w:bottom w:w="0" w:type="dxa"/>
          </w:tblCellMar>
        </w:tblPrEx>
        <w:trPr>
          <w:gridBefore w:val="1"/>
          <w:wBefore w:w="29" w:type="dxa"/>
        </w:trPr>
        <w:tc>
          <w:tcPr>
            <w:tcW w:w="9026" w:type="dxa"/>
            <w:gridSpan w:val="3"/>
            <w:shd w:val="clear" w:color="auto" w:fill="E9F1F8"/>
            <w:tcMar>
              <w:top w:w="120" w:type="dxa"/>
              <w:left w:w="200" w:type="dxa"/>
              <w:bottom w:w="120" w:type="dxa"/>
              <w:right w:w="160" w:type="dxa"/>
            </w:tcMar>
          </w:tcPr>
          <w:p w14:paraId="61786F99" w14:textId="77777777" w:rsidR="00727404" w:rsidRDefault="00000000">
            <w:pPr>
              <w:spacing w:after="40"/>
            </w:pPr>
            <w:r>
              <w:rPr>
                <w:b/>
                <w:bCs/>
                <w:color w:val="1B5E92"/>
              </w:rPr>
              <w:t>Why timing matters</w:t>
            </w:r>
          </w:p>
          <w:p w14:paraId="645E3684" w14:textId="77777777" w:rsidR="00727404" w:rsidRDefault="00000000">
            <w:pPr>
              <w:spacing w:line="252" w:lineRule="auto"/>
            </w:pPr>
            <w:r>
              <w:rPr>
                <w:sz w:val="20"/>
                <w:szCs w:val="20"/>
              </w:rPr>
              <w:t>Think of EC like catching a train before it leaves. Tablets work by holding back ovulation (the train). Once ovulation has happened, the train has gone and tablets no longer help – only the copper coil still works. The closer to ovulation, the more you should favour UPA or the coil over levonorgestrel.</w:t>
            </w:r>
          </w:p>
        </w:tc>
      </w:tr>
    </w:tbl>
    <w:p w14:paraId="78F224AB" w14:textId="77777777" w:rsidR="00727404" w:rsidRDefault="00000000">
      <w:pPr>
        <w:keepNext/>
        <w:spacing w:before="160" w:after="60"/>
      </w:pPr>
      <w:r>
        <w:rPr>
          <w:b/>
          <w:bCs/>
          <w:color w:val="21466E"/>
          <w:sz w:val="23"/>
          <w:szCs w:val="23"/>
        </w:rPr>
        <w:t>What could change your choice of method</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20"/>
        <w:gridCol w:w="8506"/>
      </w:tblGrid>
      <w:tr w:rsidR="00727404" w14:paraId="53189CD9"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7C759BBE"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46E4D051" w14:textId="77777777" w:rsidR="00727404" w:rsidRDefault="00000000">
            <w:pPr>
              <w:spacing w:line="252" w:lineRule="auto"/>
            </w:pPr>
            <w:r>
              <w:rPr>
                <w:b/>
                <w:bCs/>
              </w:rPr>
              <w:t>Current and recent contraception</w:t>
            </w:r>
            <w:r>
              <w:t xml:space="preserve"> – missed pills, late injection, failed condom, recently removed implant/coil.</w:t>
            </w:r>
          </w:p>
        </w:tc>
      </w:tr>
      <w:tr w:rsidR="00727404" w14:paraId="7112482D"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72462079"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0758B487" w14:textId="77777777" w:rsidR="00727404" w:rsidRDefault="00000000">
            <w:pPr>
              <w:spacing w:line="252" w:lineRule="auto"/>
            </w:pPr>
            <w:r>
              <w:rPr>
                <w:b/>
                <w:bCs/>
              </w:rPr>
              <w:t>Enzyme-inducing drugs</w:t>
            </w:r>
            <w:r>
              <w:t xml:space="preserve"> (e.g. carbamazepine, phenytoin, rifampicin, rifabutin, St John’s Wort, some HIV/TB drugs). These reduce the effect of </w:t>
            </w:r>
            <w:r>
              <w:rPr>
                <w:i/>
                <w:iCs/>
              </w:rPr>
              <w:t>both</w:t>
            </w:r>
            <w:r>
              <w:t xml:space="preserve"> tablets – favour a copper coil.</w:t>
            </w:r>
          </w:p>
        </w:tc>
      </w:tr>
      <w:tr w:rsidR="00727404" w14:paraId="547C8437"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6567DBD5"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5C697363" w14:textId="77777777" w:rsidR="00727404" w:rsidRDefault="00000000">
            <w:pPr>
              <w:spacing w:line="252" w:lineRule="auto"/>
            </w:pPr>
            <w:r>
              <w:rPr>
                <w:b/>
                <w:bCs/>
              </w:rPr>
              <w:t>Weight and BMI.</w:t>
            </w:r>
            <w:r>
              <w:t xml:space="preserve"> Higher weight/BMI may reduce tablet effect, especially levonorgestrel. The coil is unaffected by weight.</w:t>
            </w:r>
          </w:p>
        </w:tc>
      </w:tr>
      <w:tr w:rsidR="00727404" w14:paraId="1B9291EC"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47E9175C"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5431F50B" w14:textId="77777777" w:rsidR="00727404" w:rsidRDefault="00000000">
            <w:pPr>
              <w:spacing w:line="252" w:lineRule="auto"/>
            </w:pPr>
            <w:r>
              <w:rPr>
                <w:b/>
                <w:bCs/>
              </w:rPr>
              <w:t>Recent progestogen</w:t>
            </w:r>
            <w:r>
              <w:t xml:space="preserve"> (e.g. a POP or recent EC) in the 7 days before – this can reduce UPA’s effect.</w:t>
            </w:r>
          </w:p>
        </w:tc>
      </w:tr>
      <w:tr w:rsidR="00727404" w14:paraId="7D0A5E02"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60F4C5ED"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295A01F8" w14:textId="77777777" w:rsidR="00727404" w:rsidRDefault="00000000">
            <w:pPr>
              <w:spacing w:line="252" w:lineRule="auto"/>
            </w:pPr>
            <w:r>
              <w:t>Severe asthma controlled by oral steroids – UPA is not suitable in this group.</w:t>
            </w:r>
          </w:p>
        </w:tc>
      </w:tr>
      <w:tr w:rsidR="00727404" w14:paraId="7B7B803A"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11C5678B"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5D21F9DD" w14:textId="77777777" w:rsidR="00727404" w:rsidRDefault="00000000">
            <w:pPr>
              <w:spacing w:line="252" w:lineRule="auto"/>
            </w:pPr>
            <w:r>
              <w:t>Breastfeeding (affects aftercare advice – see Part 2).</w:t>
            </w:r>
          </w:p>
        </w:tc>
      </w:tr>
      <w:tr w:rsidR="00727404" w14:paraId="673E20CD"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4BF33551"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4C515531" w14:textId="77777777" w:rsidR="00727404" w:rsidRDefault="00000000">
            <w:pPr>
              <w:spacing w:line="252" w:lineRule="auto"/>
            </w:pPr>
            <w:r>
              <w:t>Regular medicines, allergies, and relevant medical history (and contraindications to a coil).</w:t>
            </w:r>
          </w:p>
        </w:tc>
      </w:tr>
    </w:tbl>
    <w:p w14:paraId="557D36CE" w14:textId="77777777" w:rsidR="00727404" w:rsidRDefault="00000000">
      <w:pPr>
        <w:keepNext/>
        <w:spacing w:before="160" w:after="60"/>
      </w:pPr>
      <w:r>
        <w:rPr>
          <w:b/>
          <w:bCs/>
          <w:color w:val="21466E"/>
          <w:sz w:val="23"/>
          <w:szCs w:val="23"/>
        </w:rPr>
        <w:t>Safety – do not skip these</w:t>
      </w:r>
    </w:p>
    <w:tbl>
      <w:tblPr>
        <w:tblW w:w="9026" w:type="dxa"/>
        <w:tblInd w:w="-29" w:type="dxa"/>
        <w:tblBorders>
          <w:top w:val="none" w:sz="0" w:space="0" w:color="FFFFFF"/>
          <w:left w:val="single" w:sz="24" w:space="0" w:color="C0392B"/>
          <w:bottom w:val="none" w:sz="0" w:space="0" w:color="FFFFFF"/>
          <w:right w:val="none" w:sz="0" w:space="0" w:color="FFFFFF"/>
          <w:insideH w:val="none" w:sz="0" w:space="0" w:color="FFFFFF"/>
          <w:insideV w:val="none" w:sz="0" w:space="0" w:color="FFFFFF"/>
        </w:tblBorders>
        <w:tblCellMar>
          <w:left w:w="10" w:type="dxa"/>
          <w:right w:w="10" w:type="dxa"/>
        </w:tblCellMar>
        <w:tblLook w:val="04A0" w:firstRow="1" w:lastRow="0" w:firstColumn="1" w:lastColumn="0" w:noHBand="0" w:noVBand="1"/>
      </w:tblPr>
      <w:tblGrid>
        <w:gridCol w:w="29"/>
        <w:gridCol w:w="490"/>
        <w:gridCol w:w="8478"/>
        <w:gridCol w:w="29"/>
      </w:tblGrid>
      <w:tr w:rsidR="00727404" w14:paraId="6D8DF773" w14:textId="77777777">
        <w:tblPrEx>
          <w:tblCellMar>
            <w:top w:w="0" w:type="dxa"/>
            <w:bottom w:w="0" w:type="dxa"/>
          </w:tblCellMar>
        </w:tblPrEx>
        <w:trPr>
          <w:gridBefore w:val="1"/>
          <w:wBefore w:w="29" w:type="dxa"/>
        </w:trPr>
        <w:tc>
          <w:tcPr>
            <w:tcW w:w="9026" w:type="dxa"/>
            <w:gridSpan w:val="3"/>
            <w:shd w:val="clear" w:color="auto" w:fill="FBEBE8"/>
            <w:tcMar>
              <w:top w:w="120" w:type="dxa"/>
              <w:left w:w="200" w:type="dxa"/>
              <w:bottom w:w="120" w:type="dxa"/>
              <w:right w:w="160" w:type="dxa"/>
            </w:tcMar>
          </w:tcPr>
          <w:p w14:paraId="3FAC70FA" w14:textId="77777777" w:rsidR="00727404" w:rsidRDefault="00000000">
            <w:pPr>
              <w:spacing w:after="40"/>
            </w:pPr>
            <w:r>
              <w:rPr>
                <w:b/>
                <w:bCs/>
                <w:color w:val="B23A2E"/>
              </w:rPr>
              <w:t>Red flags and safeguarding</w:t>
            </w:r>
          </w:p>
          <w:p w14:paraId="5576EF20" w14:textId="77777777" w:rsidR="00727404" w:rsidRDefault="00000000">
            <w:pPr>
              <w:spacing w:after="40" w:line="252" w:lineRule="auto"/>
            </w:pPr>
            <w:r>
              <w:rPr>
                <w:b/>
                <w:bCs/>
                <w:color w:val="B23A2E"/>
                <w:sz w:val="20"/>
                <w:szCs w:val="20"/>
              </w:rPr>
              <w:t xml:space="preserve">Age and safeguarding. </w:t>
            </w:r>
            <w:r>
              <w:rPr>
                <w:sz w:val="20"/>
                <w:szCs w:val="20"/>
              </w:rPr>
              <w:t>If under 16 (or a vulnerable adult), assess capacity and Fraser competence, screen for exploitation/coercion, and follow local child-protection policy. Under 13 cannot consent to sex – this is a child-protection matter.</w:t>
            </w:r>
          </w:p>
          <w:p w14:paraId="4EC08354" w14:textId="77777777" w:rsidR="00727404" w:rsidRDefault="00000000">
            <w:pPr>
              <w:spacing w:after="40" w:line="252" w:lineRule="auto"/>
            </w:pPr>
            <w:r>
              <w:rPr>
                <w:b/>
                <w:bCs/>
                <w:color w:val="B23A2E"/>
                <w:sz w:val="20"/>
                <w:szCs w:val="20"/>
              </w:rPr>
              <w:t xml:space="preserve">Sexual assault. </w:t>
            </w:r>
            <w:r>
              <w:rPr>
                <w:sz w:val="20"/>
                <w:szCs w:val="20"/>
              </w:rPr>
              <w:t>Ask sensitively. Offer referral to a Sexual Assault Referral Centre (SARC) and consider PEP-SE (HIV) and STI risk.</w:t>
            </w:r>
          </w:p>
          <w:p w14:paraId="4A7B0C26" w14:textId="77777777" w:rsidR="00727404" w:rsidRDefault="00000000">
            <w:pPr>
              <w:spacing w:line="252" w:lineRule="auto"/>
            </w:pPr>
            <w:r>
              <w:rPr>
                <w:b/>
                <w:bCs/>
                <w:color w:val="B23A2E"/>
                <w:sz w:val="20"/>
                <w:szCs w:val="20"/>
              </w:rPr>
              <w:t xml:space="preserve">Ectopic risk. </w:t>
            </w:r>
            <w:r>
              <w:rPr>
                <w:sz w:val="20"/>
                <w:szCs w:val="20"/>
              </w:rPr>
              <w:t>Any lower abdominal pain, or a positive pregnancy test after EC, needs urgent review to exclude ectopic pregnancy.</w:t>
            </w:r>
          </w:p>
        </w:tc>
      </w:tr>
      <w:tr w:rsidR="00727404" w14:paraId="37D3A48E"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gridAfter w:val="1"/>
          <w:wAfter w:w="29" w:type="dxa"/>
        </w:trPr>
        <w:tc>
          <w:tcPr>
            <w:tcW w:w="520" w:type="dxa"/>
            <w:gridSpan w:val="2"/>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7A5AFB52" w14:textId="77777777" w:rsidR="00727404" w:rsidRDefault="00000000">
            <w:pPr>
              <w:jc w:val="center"/>
            </w:pPr>
            <w:r>
              <w:rPr>
                <w:color w:val="E0701A"/>
                <w:sz w:val="26"/>
                <w:szCs w:val="26"/>
              </w:rPr>
              <w:lastRenderedPageBreak/>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0F68856F" w14:textId="77777777" w:rsidR="00727404" w:rsidRDefault="00000000">
            <w:pPr>
              <w:spacing w:line="252" w:lineRule="auto"/>
            </w:pPr>
            <w:r>
              <w:rPr>
                <w:b/>
                <w:bCs/>
              </w:rPr>
              <w:t>STI risk assessment</w:t>
            </w:r>
            <w:r>
              <w:t xml:space="preserve"> – offer testing as appropriate (mind window periods). Essential before fitting a coil.</w:t>
            </w:r>
          </w:p>
        </w:tc>
      </w:tr>
      <w:tr w:rsidR="00727404" w14:paraId="7BA53F8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gridAfter w:val="1"/>
          <w:wAfter w:w="29" w:type="dxa"/>
        </w:trPr>
        <w:tc>
          <w:tcPr>
            <w:tcW w:w="520" w:type="dxa"/>
            <w:gridSpan w:val="2"/>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4D5C9C06"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74DA741C" w14:textId="77777777" w:rsidR="00727404" w:rsidRDefault="00000000">
            <w:pPr>
              <w:spacing w:line="252" w:lineRule="auto"/>
            </w:pPr>
            <w:r>
              <w:t>Blood pressure and examination only if clinically indicated (not routine for tablets).</w:t>
            </w:r>
          </w:p>
        </w:tc>
      </w:tr>
    </w:tbl>
    <w:p w14:paraId="0D82BA25" w14:textId="77777777" w:rsidR="00727404" w:rsidRDefault="00727404">
      <w:pPr>
        <w:spacing w:after="200"/>
      </w:pPr>
    </w:p>
    <w:tbl>
      <w:tblPr>
        <w:tblW w:w="902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4A0" w:firstRow="1" w:lastRow="0" w:firstColumn="1" w:lastColumn="0" w:noHBand="0" w:noVBand="1"/>
      </w:tblPr>
      <w:tblGrid>
        <w:gridCol w:w="760"/>
        <w:gridCol w:w="8266"/>
      </w:tblGrid>
      <w:tr w:rsidR="00727404" w14:paraId="234EE5FA" w14:textId="77777777">
        <w:tblPrEx>
          <w:tblCellMar>
            <w:top w:w="0" w:type="dxa"/>
            <w:bottom w:w="0" w:type="dxa"/>
          </w:tblCellMar>
        </w:tblPrEx>
        <w:tc>
          <w:tcPr>
            <w:tcW w:w="760" w:type="dxa"/>
            <w:shd w:val="clear" w:color="auto" w:fill="E0701A"/>
            <w:tcMar>
              <w:top w:w="60" w:type="dxa"/>
              <w:left w:w="40" w:type="dxa"/>
              <w:bottom w:w="60" w:type="dxa"/>
              <w:right w:w="40" w:type="dxa"/>
            </w:tcMar>
            <w:vAlign w:val="center"/>
          </w:tcPr>
          <w:p w14:paraId="6B2BD569" w14:textId="77777777" w:rsidR="00727404" w:rsidRDefault="00000000">
            <w:pPr>
              <w:jc w:val="center"/>
            </w:pPr>
            <w:r>
              <w:rPr>
                <w:b/>
                <w:bCs/>
                <w:color w:val="FFFFFF"/>
                <w:sz w:val="30"/>
                <w:szCs w:val="30"/>
              </w:rPr>
              <w:t>2</w:t>
            </w:r>
          </w:p>
        </w:tc>
        <w:tc>
          <w:tcPr>
            <w:tcW w:w="8266" w:type="dxa"/>
            <w:shd w:val="clear" w:color="auto" w:fill="16314F"/>
            <w:tcMar>
              <w:top w:w="60" w:type="dxa"/>
              <w:left w:w="160" w:type="dxa"/>
              <w:bottom w:w="60" w:type="dxa"/>
              <w:right w:w="120" w:type="dxa"/>
            </w:tcMar>
            <w:vAlign w:val="center"/>
          </w:tcPr>
          <w:p w14:paraId="0BA71149" w14:textId="77777777" w:rsidR="00727404" w:rsidRDefault="00000000">
            <w:r>
              <w:rPr>
                <w:b/>
                <w:bCs/>
                <w:caps/>
                <w:color w:val="FFFFFF"/>
                <w:sz w:val="24"/>
                <w:szCs w:val="24"/>
              </w:rPr>
              <w:t>If giving tablets (oral EC) – cover this</w:t>
            </w:r>
          </w:p>
        </w:tc>
      </w:tr>
    </w:tbl>
    <w:p w14:paraId="24D97419" w14:textId="77777777" w:rsidR="00727404" w:rsidRDefault="00727404">
      <w:pPr>
        <w:spacing w:after="60"/>
      </w:pPr>
    </w:p>
    <w:p w14:paraId="4547B979" w14:textId="77777777" w:rsidR="00727404" w:rsidRDefault="00000000">
      <w:pPr>
        <w:keepNext/>
        <w:spacing w:before="160" w:after="60"/>
      </w:pPr>
      <w:r>
        <w:rPr>
          <w:b/>
          <w:bCs/>
          <w:color w:val="21466E"/>
          <w:sz w:val="23"/>
          <w:szCs w:val="23"/>
        </w:rPr>
        <w:t>Choose the right tablet</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13"/>
        <w:gridCol w:w="4513"/>
      </w:tblGrid>
      <w:tr w:rsidR="00727404" w14:paraId="6AF9E2F4" w14:textId="77777777">
        <w:tblPrEx>
          <w:tblCellMar>
            <w:top w:w="0" w:type="dxa"/>
            <w:bottom w:w="0" w:type="dxa"/>
          </w:tblCellMar>
        </w:tblPrEx>
        <w:trPr>
          <w:cantSplit/>
          <w:tblHeader/>
        </w:trPr>
        <w:tc>
          <w:tcPr>
            <w:tcW w:w="4513" w:type="dxa"/>
            <w:tcBorders>
              <w:top w:val="single" w:sz="1" w:space="0" w:color="D8DEE6"/>
              <w:left w:val="single" w:sz="1" w:space="0" w:color="D8DEE6"/>
              <w:bottom w:val="single" w:sz="1" w:space="0" w:color="D8DEE6"/>
              <w:right w:val="single" w:sz="1" w:space="0" w:color="D8DEE6"/>
            </w:tcBorders>
            <w:shd w:val="clear" w:color="auto" w:fill="16314F"/>
            <w:tcMar>
              <w:top w:w="70" w:type="dxa"/>
              <w:left w:w="120" w:type="dxa"/>
              <w:bottom w:w="70" w:type="dxa"/>
              <w:right w:w="100" w:type="dxa"/>
            </w:tcMar>
          </w:tcPr>
          <w:p w14:paraId="6BA3415A" w14:textId="77777777" w:rsidR="00727404" w:rsidRDefault="00000000">
            <w:r>
              <w:rPr>
                <w:b/>
                <w:bCs/>
                <w:color w:val="FFFFFF"/>
                <w:sz w:val="20"/>
                <w:szCs w:val="20"/>
              </w:rPr>
              <w:t>Choose UPA (ulipristal) when…</w:t>
            </w:r>
          </w:p>
        </w:tc>
        <w:tc>
          <w:tcPr>
            <w:tcW w:w="4513" w:type="dxa"/>
            <w:tcBorders>
              <w:top w:val="single" w:sz="1" w:space="0" w:color="D8DEE6"/>
              <w:left w:val="single" w:sz="1" w:space="0" w:color="D8DEE6"/>
              <w:bottom w:val="single" w:sz="1" w:space="0" w:color="D8DEE6"/>
              <w:right w:val="single" w:sz="1" w:space="0" w:color="D8DEE6"/>
            </w:tcBorders>
            <w:shd w:val="clear" w:color="auto" w:fill="16314F"/>
            <w:tcMar>
              <w:top w:w="70" w:type="dxa"/>
              <w:left w:w="120" w:type="dxa"/>
              <w:bottom w:w="70" w:type="dxa"/>
              <w:right w:w="100" w:type="dxa"/>
            </w:tcMar>
          </w:tcPr>
          <w:p w14:paraId="710F1733" w14:textId="77777777" w:rsidR="00727404" w:rsidRDefault="00000000">
            <w:r>
              <w:rPr>
                <w:b/>
                <w:bCs/>
                <w:color w:val="FFFFFF"/>
                <w:sz w:val="20"/>
                <w:szCs w:val="20"/>
              </w:rPr>
              <w:t>Choose levonorgestrel when…</w:t>
            </w:r>
          </w:p>
        </w:tc>
      </w:tr>
      <w:tr w:rsidR="00727404" w14:paraId="496D1DBD" w14:textId="77777777">
        <w:tblPrEx>
          <w:tblCellMar>
            <w:top w:w="0" w:type="dxa"/>
            <w:bottom w:w="0" w:type="dxa"/>
          </w:tblCellMar>
        </w:tblPrEx>
        <w:trPr>
          <w:cantSplit/>
        </w:trPr>
        <w:tc>
          <w:tcPr>
            <w:tcW w:w="4513" w:type="dxa"/>
            <w:tcBorders>
              <w:top w:val="single" w:sz="1" w:space="0" w:color="D8DEE6"/>
              <w:left w:val="single" w:sz="1" w:space="0" w:color="D8DEE6"/>
              <w:bottom w:val="single" w:sz="1" w:space="0" w:color="D8DEE6"/>
              <w:right w:val="single" w:sz="1" w:space="0" w:color="D8DEE6"/>
            </w:tcBorders>
            <w:shd w:val="clear" w:color="auto" w:fill="FFFFFF"/>
            <w:tcMar>
              <w:top w:w="90" w:type="dxa"/>
              <w:left w:w="120" w:type="dxa"/>
              <w:bottom w:w="90" w:type="dxa"/>
              <w:right w:w="140" w:type="dxa"/>
            </w:tcMar>
          </w:tcPr>
          <w:p w14:paraId="0F84AC58" w14:textId="77777777" w:rsidR="00727404" w:rsidRDefault="00000000">
            <w:pPr>
              <w:spacing w:line="248" w:lineRule="auto"/>
              <w:ind w:left="300" w:hanging="160"/>
            </w:pPr>
            <w:r>
              <w:rPr>
                <w:b/>
                <w:bCs/>
                <w:color w:val="E0701A"/>
                <w:sz w:val="20"/>
                <w:szCs w:val="20"/>
              </w:rPr>
              <w:t xml:space="preserve">•  </w:t>
            </w:r>
            <w:r>
              <w:rPr>
                <w:sz w:val="20"/>
                <w:szCs w:val="20"/>
              </w:rPr>
              <w:t>First-line tablet for most patients</w:t>
            </w:r>
          </w:p>
          <w:p w14:paraId="6FD46FA0" w14:textId="77777777" w:rsidR="00727404" w:rsidRDefault="00000000">
            <w:pPr>
              <w:spacing w:before="30" w:line="248" w:lineRule="auto"/>
              <w:ind w:left="300" w:hanging="160"/>
            </w:pPr>
            <w:r>
              <w:rPr>
                <w:b/>
                <w:bCs/>
                <w:color w:val="E0701A"/>
                <w:sz w:val="20"/>
                <w:szCs w:val="20"/>
              </w:rPr>
              <w:t xml:space="preserve">•  </w:t>
            </w:r>
            <w:r>
              <w:rPr>
                <w:sz w:val="20"/>
                <w:szCs w:val="20"/>
              </w:rPr>
              <w:t>Sex was 96–120 hours ago (only UPA works in this window)</w:t>
            </w:r>
          </w:p>
          <w:p w14:paraId="43CB4E27" w14:textId="77777777" w:rsidR="00727404" w:rsidRDefault="00000000">
            <w:pPr>
              <w:spacing w:before="30" w:line="248" w:lineRule="auto"/>
              <w:ind w:left="300" w:hanging="160"/>
            </w:pPr>
            <w:r>
              <w:rPr>
                <w:b/>
                <w:bCs/>
                <w:color w:val="E0701A"/>
                <w:sz w:val="20"/>
                <w:szCs w:val="20"/>
              </w:rPr>
              <w:t xml:space="preserve">•  </w:t>
            </w:r>
            <w:r>
              <w:rPr>
                <w:sz w:val="20"/>
                <w:szCs w:val="20"/>
              </w:rPr>
              <w:t>Ovulation is likely close (UPA works later in the cycle)</w:t>
            </w:r>
          </w:p>
        </w:tc>
        <w:tc>
          <w:tcPr>
            <w:tcW w:w="4513" w:type="dxa"/>
            <w:tcBorders>
              <w:top w:val="single" w:sz="1" w:space="0" w:color="D8DEE6"/>
              <w:left w:val="single" w:sz="1" w:space="0" w:color="D8DEE6"/>
              <w:bottom w:val="single" w:sz="1" w:space="0" w:color="D8DEE6"/>
              <w:right w:val="single" w:sz="1" w:space="0" w:color="D8DEE6"/>
            </w:tcBorders>
            <w:shd w:val="clear" w:color="auto" w:fill="F4F7FB"/>
            <w:tcMar>
              <w:top w:w="90" w:type="dxa"/>
              <w:left w:w="120" w:type="dxa"/>
              <w:bottom w:w="90" w:type="dxa"/>
              <w:right w:w="140" w:type="dxa"/>
            </w:tcMar>
          </w:tcPr>
          <w:p w14:paraId="6981FFEA" w14:textId="77777777" w:rsidR="00727404" w:rsidRDefault="00000000">
            <w:pPr>
              <w:spacing w:line="248" w:lineRule="auto"/>
              <w:ind w:left="300" w:hanging="160"/>
            </w:pPr>
            <w:r>
              <w:rPr>
                <w:b/>
                <w:bCs/>
                <w:color w:val="E0701A"/>
                <w:sz w:val="20"/>
                <w:szCs w:val="20"/>
              </w:rPr>
              <w:t xml:space="preserve">•  </w:t>
            </w:r>
            <w:r>
              <w:rPr>
                <w:sz w:val="20"/>
                <w:szCs w:val="20"/>
              </w:rPr>
              <w:t>She will start/restart hormonal contraception straight away</w:t>
            </w:r>
          </w:p>
          <w:p w14:paraId="3B43945E" w14:textId="77777777" w:rsidR="00727404" w:rsidRDefault="00000000">
            <w:pPr>
              <w:spacing w:before="30" w:line="248" w:lineRule="auto"/>
              <w:ind w:left="300" w:hanging="160"/>
            </w:pPr>
            <w:r>
              <w:rPr>
                <w:b/>
                <w:bCs/>
                <w:color w:val="E0701A"/>
                <w:sz w:val="20"/>
                <w:szCs w:val="20"/>
              </w:rPr>
              <w:t xml:space="preserve">•  </w:t>
            </w:r>
            <w:r>
              <w:rPr>
                <w:sz w:val="20"/>
                <w:szCs w:val="20"/>
              </w:rPr>
              <w:t>She has taken a progestogen in the last 7 days</w:t>
            </w:r>
          </w:p>
          <w:p w14:paraId="2A9FA441" w14:textId="77777777" w:rsidR="00727404" w:rsidRDefault="00000000">
            <w:pPr>
              <w:spacing w:before="30" w:line="248" w:lineRule="auto"/>
              <w:ind w:left="300" w:hanging="160"/>
            </w:pPr>
            <w:r>
              <w:rPr>
                <w:b/>
                <w:bCs/>
                <w:color w:val="E0701A"/>
                <w:sz w:val="20"/>
                <w:szCs w:val="20"/>
              </w:rPr>
              <w:t xml:space="preserve">•  </w:t>
            </w:r>
            <w:r>
              <w:rPr>
                <w:sz w:val="20"/>
                <w:szCs w:val="20"/>
              </w:rPr>
              <w:t>UPA is unsuitable (e.g. severe asthma on oral steroids)</w:t>
            </w:r>
          </w:p>
        </w:tc>
      </w:tr>
    </w:tbl>
    <w:p w14:paraId="7A1ACA7A" w14:textId="77777777" w:rsidR="00727404" w:rsidRDefault="00000000">
      <w:pPr>
        <w:spacing w:before="60" w:after="120"/>
      </w:pPr>
      <w:r>
        <w:rPr>
          <w:i/>
          <w:iCs/>
          <w:color w:val="5A6470"/>
          <w:sz w:val="18"/>
          <w:szCs w:val="18"/>
        </w:rPr>
        <w:t>Source: FSRH Emergency Contraception (amended April 2026) – UPA-EC is recommended first-line oral EC.</w:t>
      </w:r>
    </w:p>
    <w:p w14:paraId="70D69CF5" w14:textId="77777777" w:rsidR="00727404" w:rsidRDefault="00000000">
      <w:pPr>
        <w:keepNext/>
        <w:spacing w:before="160" w:after="60"/>
      </w:pPr>
      <w:r>
        <w:rPr>
          <w:b/>
          <w:bCs/>
          <w:color w:val="21466E"/>
          <w:sz w:val="23"/>
          <w:szCs w:val="23"/>
        </w:rPr>
        <w:t>Dose, and what to tell her</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20"/>
        <w:gridCol w:w="8506"/>
      </w:tblGrid>
      <w:tr w:rsidR="00727404" w14:paraId="1BA43F3F"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74505FE8"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4A7C3FB1" w14:textId="77777777" w:rsidR="00727404" w:rsidRDefault="00000000">
            <w:pPr>
              <w:spacing w:line="252" w:lineRule="auto"/>
            </w:pPr>
            <w:r>
              <w:rPr>
                <w:b/>
                <w:bCs/>
              </w:rPr>
              <w:t xml:space="preserve">Give the dose. </w:t>
            </w:r>
            <w:r>
              <w:t xml:space="preserve">UPA 30 mg as a single dose. OR levonorgestrel 1.5 mg as a single dose – </w:t>
            </w:r>
            <w:r>
              <w:rPr>
                <w:b/>
                <w:bCs/>
              </w:rPr>
              <w:t>use 3 mg</w:t>
            </w:r>
            <w:r>
              <w:t xml:space="preserve"> if BMI &gt; 26 / weight &gt; 70 kg, or on enzyme-inducing drugs. Do NOT double the UPA dose.</w:t>
            </w:r>
          </w:p>
        </w:tc>
      </w:tr>
      <w:tr w:rsidR="00727404" w14:paraId="100260C3"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071B147B"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34ED55D3" w14:textId="77777777" w:rsidR="00727404" w:rsidRDefault="00000000">
            <w:pPr>
              <w:spacing w:line="252" w:lineRule="auto"/>
            </w:pPr>
            <w:r>
              <w:rPr>
                <w:b/>
                <w:bCs/>
              </w:rPr>
              <w:t>Take it as soon as possible</w:t>
            </w:r>
            <w:r>
              <w:t xml:space="preserve"> – sooner is more effective.</w:t>
            </w:r>
          </w:p>
        </w:tc>
      </w:tr>
      <w:tr w:rsidR="00727404" w14:paraId="66E7CEBA"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4646DBE7"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276EF633" w14:textId="77777777" w:rsidR="00727404" w:rsidRDefault="00000000">
            <w:pPr>
              <w:spacing w:line="252" w:lineRule="auto"/>
            </w:pPr>
            <w:r>
              <w:rPr>
                <w:b/>
                <w:bCs/>
              </w:rPr>
              <w:t>If she vomits within 3 hours, she must repeat the dose.</w:t>
            </w:r>
            <w:r>
              <w:t xml:space="preserve"> An anti-emetic may help.</w:t>
            </w:r>
          </w:p>
        </w:tc>
      </w:tr>
      <w:tr w:rsidR="00727404" w14:paraId="2E16F489"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65F2AB5B"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29A4B094" w14:textId="77777777" w:rsidR="00727404" w:rsidRDefault="00000000">
            <w:pPr>
              <w:spacing w:line="252" w:lineRule="auto"/>
            </w:pPr>
            <w:r>
              <w:t>Explain the mode of action and that no tablet is 100% effective.</w:t>
            </w:r>
          </w:p>
        </w:tc>
      </w:tr>
      <w:tr w:rsidR="00727404" w14:paraId="7F99514F"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41AFEC48"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15086F0F" w14:textId="77777777" w:rsidR="00727404" w:rsidRDefault="00000000">
            <w:pPr>
              <w:spacing w:line="252" w:lineRule="auto"/>
            </w:pPr>
            <w:r>
              <w:rPr>
                <w:b/>
                <w:bCs/>
              </w:rPr>
              <w:t>This does NOT protect against further sex this cycle</w:t>
            </w:r>
            <w:r>
              <w:t xml:space="preserve"> – use contraception or abstain until the next period.</w:t>
            </w:r>
          </w:p>
        </w:tc>
      </w:tr>
      <w:tr w:rsidR="00727404" w14:paraId="46791FCA"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37D1531D"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746E4C7C" w14:textId="77777777" w:rsidR="00727404" w:rsidRDefault="00000000">
            <w:pPr>
              <w:spacing w:line="252" w:lineRule="auto"/>
            </w:pPr>
            <w:r>
              <w:t xml:space="preserve">Side effects to </w:t>
            </w:r>
            <w:proofErr w:type="gramStart"/>
            <w:r>
              <w:t>expect:</w:t>
            </w:r>
            <w:proofErr w:type="gramEnd"/>
            <w:r>
              <w:t xml:space="preserve"> nausea, headache, abdominal pain, and a period that may be early or late.</w:t>
            </w:r>
          </w:p>
        </w:tc>
      </w:tr>
    </w:tbl>
    <w:p w14:paraId="2FC57435" w14:textId="77777777" w:rsidR="00727404" w:rsidRDefault="00000000">
      <w:pPr>
        <w:keepNext/>
        <w:spacing w:before="160" w:after="60"/>
      </w:pPr>
      <w:r>
        <w:rPr>
          <w:b/>
          <w:bCs/>
          <w:color w:val="21466E"/>
          <w:sz w:val="23"/>
          <w:szCs w:val="23"/>
        </w:rPr>
        <w:t>Starting ongoing contraception (“quick start”)</w:t>
      </w:r>
    </w:p>
    <w:tbl>
      <w:tblPr>
        <w:tblW w:w="9026" w:type="dxa"/>
        <w:tblBorders>
          <w:top w:val="none" w:sz="0" w:space="0" w:color="FFFFFF"/>
          <w:left w:val="single" w:sz="24" w:space="0" w:color="E0A106"/>
          <w:bottom w:val="none" w:sz="0" w:space="0" w:color="FFFFFF"/>
          <w:right w:val="none" w:sz="0" w:space="0" w:color="FFFFFF"/>
          <w:insideH w:val="none" w:sz="0" w:space="0" w:color="FFFFFF"/>
          <w:insideV w:val="none" w:sz="0" w:space="0" w:color="FFFFFF"/>
        </w:tblBorders>
        <w:tblCellMar>
          <w:left w:w="10" w:type="dxa"/>
          <w:right w:w="10" w:type="dxa"/>
        </w:tblCellMar>
        <w:tblLook w:val="04A0" w:firstRow="1" w:lastRow="0" w:firstColumn="1" w:lastColumn="0" w:noHBand="0" w:noVBand="1"/>
      </w:tblPr>
      <w:tblGrid>
        <w:gridCol w:w="9026"/>
      </w:tblGrid>
      <w:tr w:rsidR="00727404" w14:paraId="26D67952" w14:textId="77777777">
        <w:tblPrEx>
          <w:tblCellMar>
            <w:top w:w="0" w:type="dxa"/>
            <w:bottom w:w="0" w:type="dxa"/>
          </w:tblCellMar>
        </w:tblPrEx>
        <w:tc>
          <w:tcPr>
            <w:tcW w:w="9026" w:type="dxa"/>
            <w:shd w:val="clear" w:color="auto" w:fill="FBF3E0"/>
            <w:tcMar>
              <w:top w:w="120" w:type="dxa"/>
              <w:left w:w="200" w:type="dxa"/>
              <w:bottom w:w="120" w:type="dxa"/>
              <w:right w:w="160" w:type="dxa"/>
            </w:tcMar>
          </w:tcPr>
          <w:p w14:paraId="4507D757" w14:textId="77777777" w:rsidR="00727404" w:rsidRDefault="00000000">
            <w:pPr>
              <w:spacing w:after="40"/>
            </w:pPr>
            <w:r>
              <w:rPr>
                <w:b/>
                <w:bCs/>
                <w:color w:val="9A6B0C"/>
              </w:rPr>
              <w:t>The 5-day rule for UPA</w:t>
            </w:r>
          </w:p>
          <w:p w14:paraId="58DD0663" w14:textId="77777777" w:rsidR="00727404" w:rsidRDefault="00000000">
            <w:pPr>
              <w:spacing w:after="40" w:line="252" w:lineRule="auto"/>
            </w:pPr>
            <w:r>
              <w:rPr>
                <w:b/>
                <w:bCs/>
                <w:color w:val="9A6B0C"/>
                <w:sz w:val="20"/>
                <w:szCs w:val="20"/>
              </w:rPr>
              <w:t xml:space="preserve">After levonorgestrel: </w:t>
            </w:r>
            <w:r>
              <w:rPr>
                <w:sz w:val="20"/>
                <w:szCs w:val="20"/>
              </w:rPr>
              <w:t>hormonal contraception can be started immediately.</w:t>
            </w:r>
          </w:p>
          <w:p w14:paraId="324ADF61" w14:textId="77777777" w:rsidR="00727404" w:rsidRDefault="00000000">
            <w:pPr>
              <w:spacing w:after="40" w:line="252" w:lineRule="auto"/>
            </w:pPr>
            <w:r>
              <w:rPr>
                <w:b/>
                <w:bCs/>
                <w:color w:val="9A6B0C"/>
                <w:sz w:val="20"/>
                <w:szCs w:val="20"/>
              </w:rPr>
              <w:t xml:space="preserve">After UPA: </w:t>
            </w:r>
            <w:r>
              <w:rPr>
                <w:sz w:val="20"/>
                <w:szCs w:val="20"/>
              </w:rPr>
              <w:t>wait 5 days before starting/restarting hormonal contraception – starting sooner can stop UPA working.</w:t>
            </w:r>
          </w:p>
          <w:p w14:paraId="7D6856CA" w14:textId="77777777" w:rsidR="00727404" w:rsidRDefault="00000000">
            <w:pPr>
              <w:spacing w:line="252" w:lineRule="auto"/>
            </w:pPr>
            <w:r>
              <w:rPr>
                <w:b/>
                <w:bCs/>
                <w:color w:val="9A6B0C"/>
                <w:sz w:val="20"/>
                <w:szCs w:val="20"/>
              </w:rPr>
              <w:t xml:space="preserve">Either way: </w:t>
            </w:r>
            <w:r>
              <w:rPr>
                <w:sz w:val="20"/>
                <w:szCs w:val="20"/>
              </w:rPr>
              <w:t>use condoms or abstain until the new method is reliable (and for the extra days that method needs).</w:t>
            </w:r>
          </w:p>
        </w:tc>
      </w:tr>
    </w:tbl>
    <w:p w14:paraId="0CF91509" w14:textId="77777777" w:rsidR="00727404" w:rsidRDefault="00000000">
      <w:pPr>
        <w:spacing w:before="60" w:after="120"/>
      </w:pPr>
      <w:r>
        <w:rPr>
          <w:i/>
          <w:iCs/>
          <w:color w:val="5A6470"/>
          <w:sz w:val="18"/>
          <w:szCs w:val="18"/>
        </w:rPr>
        <w:t>Source: FSRH Emergency Contraception (amended April 2026), Section 18.</w:t>
      </w:r>
    </w:p>
    <w:p w14:paraId="4AA8B05E" w14:textId="77777777" w:rsidR="00727404" w:rsidRDefault="00000000">
      <w:pPr>
        <w:keepNext/>
        <w:spacing w:before="160" w:after="60"/>
      </w:pPr>
      <w:r>
        <w:rPr>
          <w:b/>
          <w:bCs/>
          <w:color w:val="21466E"/>
          <w:sz w:val="23"/>
          <w:szCs w:val="23"/>
        </w:rPr>
        <w:t>Breastfeeding</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20"/>
        <w:gridCol w:w="8506"/>
      </w:tblGrid>
      <w:tr w:rsidR="00727404" w14:paraId="2F11CF6E"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4482E588"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6CAC7502" w14:textId="77777777" w:rsidR="00727404" w:rsidRDefault="00000000">
            <w:pPr>
              <w:spacing w:line="252" w:lineRule="auto"/>
            </w:pPr>
            <w:r>
              <w:rPr>
                <w:b/>
                <w:bCs/>
              </w:rPr>
              <w:t xml:space="preserve">Levonorgestrel: </w:t>
            </w:r>
            <w:r>
              <w:t>safe – continue breastfeeding as normal.</w:t>
            </w:r>
          </w:p>
        </w:tc>
      </w:tr>
      <w:tr w:rsidR="00727404" w14:paraId="3DCEDF32"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594F729F"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57ED186C" w14:textId="77777777" w:rsidR="00727404" w:rsidRDefault="00000000">
            <w:pPr>
              <w:spacing w:line="252" w:lineRule="auto"/>
            </w:pPr>
            <w:r>
              <w:rPr>
                <w:b/>
                <w:bCs/>
              </w:rPr>
              <w:t xml:space="preserve">UPA: </w:t>
            </w:r>
            <w:r>
              <w:t>no interruption of breastfeeding is needed after a single dose (updated FSRH advice, April 2026).</w:t>
            </w:r>
          </w:p>
        </w:tc>
      </w:tr>
    </w:tbl>
    <w:p w14:paraId="44555396" w14:textId="77777777" w:rsidR="00727404" w:rsidRDefault="00000000">
      <w:pPr>
        <w:keepNext/>
        <w:spacing w:before="160" w:after="60"/>
      </w:pPr>
      <w:r>
        <w:rPr>
          <w:b/>
          <w:bCs/>
          <w:color w:val="21466E"/>
          <w:sz w:val="23"/>
          <w:szCs w:val="23"/>
        </w:rPr>
        <w:t>Safety-net and follow-up</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20"/>
        <w:gridCol w:w="8506"/>
      </w:tblGrid>
      <w:tr w:rsidR="00727404" w14:paraId="2240C68C"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187473D7"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468CCA7C" w14:textId="77777777" w:rsidR="00727404" w:rsidRDefault="00000000">
            <w:pPr>
              <w:spacing w:line="252" w:lineRule="auto"/>
            </w:pPr>
            <w:r>
              <w:rPr>
                <w:b/>
                <w:bCs/>
              </w:rPr>
              <w:t>Pregnancy test if her period is more than 5–7 days late, lighter, or shorter than usual – or routinely 3 weeks (21 days) after the last UPSI.</w:t>
            </w:r>
          </w:p>
        </w:tc>
      </w:tr>
      <w:tr w:rsidR="00727404" w14:paraId="2C986C0E"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2A0DB7FC" w14:textId="77777777" w:rsidR="00727404" w:rsidRDefault="00000000">
            <w:pPr>
              <w:jc w:val="center"/>
            </w:pPr>
            <w:r>
              <w:rPr>
                <w:color w:val="E0701A"/>
                <w:sz w:val="26"/>
                <w:szCs w:val="26"/>
              </w:rPr>
              <w:lastRenderedPageBreak/>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6B581131" w14:textId="77777777" w:rsidR="00727404" w:rsidRDefault="00000000">
            <w:pPr>
              <w:spacing w:line="252" w:lineRule="auto"/>
            </w:pPr>
            <w:r>
              <w:rPr>
                <w:b/>
                <w:bCs/>
              </w:rPr>
              <w:t>Seek urgent help for any lower abdominal pain</w:t>
            </w:r>
            <w:r>
              <w:t xml:space="preserve"> – exclude ectopic pregnancy.</w:t>
            </w:r>
          </w:p>
        </w:tc>
      </w:tr>
      <w:tr w:rsidR="00727404" w14:paraId="1B2C1D08"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6E76143F"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42F3B9CF" w14:textId="77777777" w:rsidR="00727404" w:rsidRDefault="00000000">
            <w:pPr>
              <w:spacing w:line="252" w:lineRule="auto"/>
            </w:pPr>
            <w:r>
              <w:t>Arrange/advise STI testing and follow-up for ongoing contraception.</w:t>
            </w:r>
          </w:p>
        </w:tc>
      </w:tr>
      <w:tr w:rsidR="00727404" w14:paraId="55B50820"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066285CA"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0CB34D9C" w14:textId="77777777" w:rsidR="00727404" w:rsidRDefault="00000000">
            <w:pPr>
              <w:spacing w:line="252" w:lineRule="auto"/>
            </w:pPr>
            <w:r>
              <w:t>Give a patient information leaflet and record advice given (inform the GP where relevant).</w:t>
            </w:r>
          </w:p>
        </w:tc>
      </w:tr>
    </w:tbl>
    <w:p w14:paraId="1D05A525" w14:textId="77777777" w:rsidR="00727404" w:rsidRDefault="00727404">
      <w:pPr>
        <w:spacing w:after="200"/>
      </w:pPr>
    </w:p>
    <w:tbl>
      <w:tblPr>
        <w:tblW w:w="902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4A0" w:firstRow="1" w:lastRow="0" w:firstColumn="1" w:lastColumn="0" w:noHBand="0" w:noVBand="1"/>
      </w:tblPr>
      <w:tblGrid>
        <w:gridCol w:w="760"/>
        <w:gridCol w:w="8266"/>
      </w:tblGrid>
      <w:tr w:rsidR="00727404" w14:paraId="7D15F712" w14:textId="77777777">
        <w:tblPrEx>
          <w:tblCellMar>
            <w:top w:w="0" w:type="dxa"/>
            <w:bottom w:w="0" w:type="dxa"/>
          </w:tblCellMar>
        </w:tblPrEx>
        <w:tc>
          <w:tcPr>
            <w:tcW w:w="760" w:type="dxa"/>
            <w:shd w:val="clear" w:color="auto" w:fill="E0701A"/>
            <w:tcMar>
              <w:top w:w="60" w:type="dxa"/>
              <w:left w:w="40" w:type="dxa"/>
              <w:bottom w:w="60" w:type="dxa"/>
              <w:right w:w="40" w:type="dxa"/>
            </w:tcMar>
            <w:vAlign w:val="center"/>
          </w:tcPr>
          <w:p w14:paraId="7C9D3708" w14:textId="77777777" w:rsidR="00727404" w:rsidRDefault="00000000">
            <w:pPr>
              <w:jc w:val="center"/>
            </w:pPr>
            <w:r>
              <w:rPr>
                <w:b/>
                <w:bCs/>
                <w:color w:val="FFFFFF"/>
                <w:sz w:val="30"/>
                <w:szCs w:val="30"/>
              </w:rPr>
              <w:t>3</w:t>
            </w:r>
          </w:p>
        </w:tc>
        <w:tc>
          <w:tcPr>
            <w:tcW w:w="8266" w:type="dxa"/>
            <w:shd w:val="clear" w:color="auto" w:fill="16314F"/>
            <w:tcMar>
              <w:top w:w="60" w:type="dxa"/>
              <w:left w:w="160" w:type="dxa"/>
              <w:bottom w:w="60" w:type="dxa"/>
              <w:right w:w="120" w:type="dxa"/>
            </w:tcMar>
            <w:vAlign w:val="center"/>
          </w:tcPr>
          <w:p w14:paraId="36552FC2" w14:textId="77777777" w:rsidR="00727404" w:rsidRDefault="00000000">
            <w:r>
              <w:rPr>
                <w:b/>
                <w:bCs/>
                <w:caps/>
                <w:color w:val="FFFFFF"/>
                <w:sz w:val="24"/>
                <w:szCs w:val="24"/>
              </w:rPr>
              <w:t>If fitting a copper coil (Cu-IUD) – cover this</w:t>
            </w:r>
          </w:p>
        </w:tc>
      </w:tr>
    </w:tbl>
    <w:p w14:paraId="4EB46653" w14:textId="77777777" w:rsidR="00727404" w:rsidRDefault="00727404">
      <w:pPr>
        <w:spacing w:after="60"/>
      </w:pPr>
    </w:p>
    <w:p w14:paraId="79C6507F" w14:textId="77777777" w:rsidR="00727404" w:rsidRDefault="00000000">
      <w:pPr>
        <w:keepNext/>
        <w:spacing w:before="160" w:after="60"/>
      </w:pPr>
      <w:r>
        <w:rPr>
          <w:b/>
          <w:bCs/>
          <w:color w:val="21466E"/>
          <w:sz w:val="23"/>
          <w:szCs w:val="23"/>
        </w:rPr>
        <w:t>Confirm it is appropriate and in time</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20"/>
        <w:gridCol w:w="8506"/>
      </w:tblGrid>
      <w:tr w:rsidR="00727404" w14:paraId="505BCF06"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480B09E1"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6A86CC63" w14:textId="77777777" w:rsidR="00727404" w:rsidRDefault="00000000">
            <w:pPr>
              <w:spacing w:line="252" w:lineRule="auto"/>
            </w:pPr>
            <w:r>
              <w:rPr>
                <w:b/>
                <w:bCs/>
              </w:rPr>
              <w:t>Within the window:</w:t>
            </w:r>
            <w:r>
              <w:t xml:space="preserve"> ≤ 5 days after the first UPSI this cycle, OR ≤ 5 days after the earliest likely ovulation – whichever is later.</w:t>
            </w:r>
          </w:p>
        </w:tc>
      </w:tr>
      <w:tr w:rsidR="00727404" w14:paraId="4FCC9F58"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6D2209F2"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4DE470EA" w14:textId="77777777" w:rsidR="00727404" w:rsidRDefault="00000000">
            <w:pPr>
              <w:spacing w:line="252" w:lineRule="auto"/>
            </w:pPr>
            <w:r>
              <w:t>No contraindication to a coil (contraindications are the same as for a routine coil fitting – e.g. current pelvic infection, pregnancy, unexplained vaginal bleeding, distorted cavity).</w:t>
            </w:r>
          </w:p>
        </w:tc>
      </w:tr>
      <w:tr w:rsidR="00727404" w14:paraId="50E39614"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7809C0BE"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293427B2" w14:textId="77777777" w:rsidR="00727404" w:rsidRDefault="00000000">
            <w:pPr>
              <w:spacing w:line="252" w:lineRule="auto"/>
            </w:pPr>
            <w:r>
              <w:t>Allergies checked (including to any antibiotic that might be needed).</w:t>
            </w:r>
          </w:p>
        </w:tc>
      </w:tr>
      <w:tr w:rsidR="00727404" w14:paraId="6F84D0E8"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460162DE"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3E3AC42D" w14:textId="77777777" w:rsidR="00727404" w:rsidRDefault="00000000">
            <w:pPr>
              <w:spacing w:line="252" w:lineRule="auto"/>
            </w:pPr>
            <w:r>
              <w:t>Fitted by a trained inserter, with a trained assistant present and resuscitation facilities available.</w:t>
            </w:r>
          </w:p>
        </w:tc>
      </w:tr>
    </w:tbl>
    <w:p w14:paraId="554F36F6" w14:textId="77777777" w:rsidR="00727404" w:rsidRDefault="00000000">
      <w:pPr>
        <w:keepNext/>
        <w:spacing w:before="160" w:after="60"/>
      </w:pPr>
      <w:r>
        <w:rPr>
          <w:b/>
          <w:bCs/>
          <w:color w:val="21466E"/>
          <w:sz w:val="23"/>
          <w:szCs w:val="23"/>
        </w:rPr>
        <w:t>Counsel and take consent</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20"/>
        <w:gridCol w:w="8506"/>
      </w:tblGrid>
      <w:tr w:rsidR="00727404" w14:paraId="47C1BC06"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5AFC5DBF"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1EA5552F" w14:textId="77777777" w:rsidR="00727404" w:rsidRDefault="00000000">
            <w:pPr>
              <w:spacing w:line="252" w:lineRule="auto"/>
            </w:pPr>
            <w:r>
              <w:rPr>
                <w:b/>
                <w:bCs/>
              </w:rPr>
              <w:t>Why the coil:</w:t>
            </w:r>
            <w:r>
              <w:t xml:space="preserve"> it is the most effective EC, works immediately, and gives ongoing contraception (5–10 years).</w:t>
            </w:r>
          </w:p>
        </w:tc>
      </w:tr>
      <w:tr w:rsidR="00727404" w14:paraId="04198E7C"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6E5704C0"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1B5E1A09" w14:textId="77777777" w:rsidR="00727404" w:rsidRDefault="00000000">
            <w:pPr>
              <w:spacing w:line="252" w:lineRule="auto"/>
            </w:pPr>
            <w:r>
              <w:t>How it works as EC, and that it does not end an existing pregnancy.</w:t>
            </w:r>
          </w:p>
        </w:tc>
      </w:tr>
    </w:tbl>
    <w:p w14:paraId="637BDBE6" w14:textId="77777777" w:rsidR="00727404" w:rsidRDefault="00000000">
      <w:pPr>
        <w:spacing w:before="40" w:after="80" w:line="264" w:lineRule="auto"/>
      </w:pPr>
      <w:r>
        <w:rPr>
          <w:b/>
          <w:bCs/>
          <w:color w:val="21466E"/>
        </w:rPr>
        <w:t>Explain the risks of fitting (for consent):</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00"/>
        <w:gridCol w:w="1500"/>
        <w:gridCol w:w="5226"/>
      </w:tblGrid>
      <w:tr w:rsidR="00727404" w14:paraId="6ABF7241" w14:textId="77777777">
        <w:tblPrEx>
          <w:tblCellMar>
            <w:top w:w="0" w:type="dxa"/>
            <w:bottom w:w="0" w:type="dxa"/>
          </w:tblCellMar>
        </w:tblPrEx>
        <w:trPr>
          <w:tblHeader/>
        </w:trPr>
        <w:tc>
          <w:tcPr>
            <w:tcW w:w="2300" w:type="dxa"/>
            <w:tcBorders>
              <w:top w:val="single" w:sz="1" w:space="0" w:color="D8DEE6"/>
              <w:left w:val="single" w:sz="1" w:space="0" w:color="D8DEE6"/>
              <w:bottom w:val="single" w:sz="1" w:space="0" w:color="D8DEE6"/>
              <w:right w:val="single" w:sz="1" w:space="0" w:color="D8DEE6"/>
            </w:tcBorders>
            <w:shd w:val="clear" w:color="auto" w:fill="16314F"/>
            <w:tcMar>
              <w:top w:w="70" w:type="dxa"/>
              <w:left w:w="120" w:type="dxa"/>
              <w:bottom w:w="70" w:type="dxa"/>
              <w:right w:w="100" w:type="dxa"/>
            </w:tcMar>
            <w:vAlign w:val="center"/>
          </w:tcPr>
          <w:p w14:paraId="21AFF0E1" w14:textId="77777777" w:rsidR="00727404" w:rsidRDefault="00000000">
            <w:r>
              <w:rPr>
                <w:b/>
                <w:bCs/>
                <w:color w:val="FFFFFF"/>
                <w:sz w:val="20"/>
                <w:szCs w:val="20"/>
              </w:rPr>
              <w:t>Risk</w:t>
            </w:r>
          </w:p>
        </w:tc>
        <w:tc>
          <w:tcPr>
            <w:tcW w:w="1500" w:type="dxa"/>
            <w:tcBorders>
              <w:top w:val="single" w:sz="1" w:space="0" w:color="D8DEE6"/>
              <w:left w:val="single" w:sz="1" w:space="0" w:color="D8DEE6"/>
              <w:bottom w:val="single" w:sz="1" w:space="0" w:color="D8DEE6"/>
              <w:right w:val="single" w:sz="1" w:space="0" w:color="D8DEE6"/>
            </w:tcBorders>
            <w:shd w:val="clear" w:color="auto" w:fill="16314F"/>
            <w:tcMar>
              <w:top w:w="70" w:type="dxa"/>
              <w:left w:w="120" w:type="dxa"/>
              <w:bottom w:w="70" w:type="dxa"/>
              <w:right w:w="100" w:type="dxa"/>
            </w:tcMar>
            <w:vAlign w:val="center"/>
          </w:tcPr>
          <w:p w14:paraId="75B8B7E9" w14:textId="77777777" w:rsidR="00727404" w:rsidRDefault="00000000">
            <w:r>
              <w:rPr>
                <w:b/>
                <w:bCs/>
                <w:color w:val="FFFFFF"/>
                <w:sz w:val="20"/>
                <w:szCs w:val="20"/>
              </w:rPr>
              <w:t>How likely</w:t>
            </w:r>
          </w:p>
        </w:tc>
        <w:tc>
          <w:tcPr>
            <w:tcW w:w="5226" w:type="dxa"/>
            <w:tcBorders>
              <w:top w:val="single" w:sz="1" w:space="0" w:color="D8DEE6"/>
              <w:left w:val="single" w:sz="1" w:space="0" w:color="D8DEE6"/>
              <w:bottom w:val="single" w:sz="1" w:space="0" w:color="D8DEE6"/>
              <w:right w:val="single" w:sz="1" w:space="0" w:color="D8DEE6"/>
            </w:tcBorders>
            <w:shd w:val="clear" w:color="auto" w:fill="16314F"/>
            <w:tcMar>
              <w:top w:w="70" w:type="dxa"/>
              <w:left w:w="120" w:type="dxa"/>
              <w:bottom w:w="70" w:type="dxa"/>
              <w:right w:w="100" w:type="dxa"/>
            </w:tcMar>
            <w:vAlign w:val="center"/>
          </w:tcPr>
          <w:p w14:paraId="4A744D1F" w14:textId="77777777" w:rsidR="00727404" w:rsidRDefault="00000000">
            <w:r>
              <w:rPr>
                <w:b/>
                <w:bCs/>
                <w:color w:val="FFFFFF"/>
                <w:sz w:val="20"/>
                <w:szCs w:val="20"/>
              </w:rPr>
              <w:t>What to say</w:t>
            </w:r>
          </w:p>
        </w:tc>
      </w:tr>
      <w:tr w:rsidR="00727404" w14:paraId="4B363324" w14:textId="77777777">
        <w:tblPrEx>
          <w:tblCellMar>
            <w:top w:w="0" w:type="dxa"/>
            <w:bottom w:w="0" w:type="dxa"/>
          </w:tblCellMar>
        </w:tblPrEx>
        <w:tc>
          <w:tcPr>
            <w:tcW w:w="2300" w:type="dxa"/>
            <w:tcBorders>
              <w:top w:val="single" w:sz="1" w:space="0" w:color="D8DEE6"/>
              <w:left w:val="single" w:sz="1" w:space="0" w:color="D8DEE6"/>
              <w:bottom w:val="single" w:sz="1" w:space="0" w:color="D8DEE6"/>
              <w:right w:val="single" w:sz="1" w:space="0" w:color="D8DEE6"/>
            </w:tcBorders>
            <w:shd w:val="clear" w:color="auto" w:fill="FFFFFF"/>
            <w:tcMar>
              <w:top w:w="60" w:type="dxa"/>
              <w:left w:w="120" w:type="dxa"/>
              <w:bottom w:w="60" w:type="dxa"/>
              <w:right w:w="100" w:type="dxa"/>
            </w:tcMar>
          </w:tcPr>
          <w:p w14:paraId="4D8F1934" w14:textId="77777777" w:rsidR="00727404" w:rsidRDefault="00000000">
            <w:pPr>
              <w:spacing w:line="248" w:lineRule="auto"/>
            </w:pPr>
            <w:r>
              <w:rPr>
                <w:sz w:val="20"/>
                <w:szCs w:val="20"/>
              </w:rPr>
              <w:t>Expulsion (falls out)</w:t>
            </w:r>
          </w:p>
        </w:tc>
        <w:tc>
          <w:tcPr>
            <w:tcW w:w="1500" w:type="dxa"/>
            <w:tcBorders>
              <w:top w:val="single" w:sz="1" w:space="0" w:color="D8DEE6"/>
              <w:left w:val="single" w:sz="1" w:space="0" w:color="D8DEE6"/>
              <w:bottom w:val="single" w:sz="1" w:space="0" w:color="D8DEE6"/>
              <w:right w:val="single" w:sz="1" w:space="0" w:color="D8DEE6"/>
            </w:tcBorders>
            <w:shd w:val="clear" w:color="auto" w:fill="FFFFFF"/>
            <w:tcMar>
              <w:top w:w="60" w:type="dxa"/>
              <w:left w:w="120" w:type="dxa"/>
              <w:bottom w:w="60" w:type="dxa"/>
              <w:right w:w="100" w:type="dxa"/>
            </w:tcMar>
          </w:tcPr>
          <w:p w14:paraId="05C6C7D2" w14:textId="77777777" w:rsidR="00727404" w:rsidRDefault="00000000">
            <w:pPr>
              <w:spacing w:line="248" w:lineRule="auto"/>
            </w:pPr>
            <w:r>
              <w:rPr>
                <w:b/>
                <w:bCs/>
                <w:sz w:val="20"/>
                <w:szCs w:val="20"/>
              </w:rPr>
              <w:t>~1 in 20</w:t>
            </w:r>
          </w:p>
        </w:tc>
        <w:tc>
          <w:tcPr>
            <w:tcW w:w="5226" w:type="dxa"/>
            <w:tcBorders>
              <w:top w:val="single" w:sz="1" w:space="0" w:color="D8DEE6"/>
              <w:left w:val="single" w:sz="1" w:space="0" w:color="D8DEE6"/>
              <w:bottom w:val="single" w:sz="1" w:space="0" w:color="D8DEE6"/>
              <w:right w:val="single" w:sz="1" w:space="0" w:color="D8DEE6"/>
            </w:tcBorders>
            <w:shd w:val="clear" w:color="auto" w:fill="FFFFFF"/>
            <w:tcMar>
              <w:top w:w="60" w:type="dxa"/>
              <w:left w:w="120" w:type="dxa"/>
              <w:bottom w:w="60" w:type="dxa"/>
              <w:right w:w="100" w:type="dxa"/>
            </w:tcMar>
          </w:tcPr>
          <w:p w14:paraId="35EC744B" w14:textId="77777777" w:rsidR="00727404" w:rsidRDefault="00000000">
            <w:pPr>
              <w:spacing w:line="248" w:lineRule="auto"/>
            </w:pPr>
            <w:r>
              <w:rPr>
                <w:sz w:val="20"/>
                <w:szCs w:val="20"/>
              </w:rPr>
              <w:t>Most likely in the first 3 months; more likely with higher BMI. Teach thread-checking.</w:t>
            </w:r>
          </w:p>
        </w:tc>
      </w:tr>
      <w:tr w:rsidR="00727404" w14:paraId="188A186B" w14:textId="77777777">
        <w:tblPrEx>
          <w:tblCellMar>
            <w:top w:w="0" w:type="dxa"/>
            <w:bottom w:w="0" w:type="dxa"/>
          </w:tblCellMar>
        </w:tblPrEx>
        <w:tc>
          <w:tcPr>
            <w:tcW w:w="2300" w:type="dxa"/>
            <w:tcBorders>
              <w:top w:val="single" w:sz="1" w:space="0" w:color="D8DEE6"/>
              <w:left w:val="single" w:sz="1" w:space="0" w:color="D8DEE6"/>
              <w:bottom w:val="single" w:sz="1" w:space="0" w:color="D8DEE6"/>
              <w:right w:val="single" w:sz="1" w:space="0" w:color="D8DEE6"/>
            </w:tcBorders>
            <w:shd w:val="clear" w:color="auto" w:fill="F4F7FB"/>
            <w:tcMar>
              <w:top w:w="60" w:type="dxa"/>
              <w:left w:w="120" w:type="dxa"/>
              <w:bottom w:w="60" w:type="dxa"/>
              <w:right w:w="100" w:type="dxa"/>
            </w:tcMar>
          </w:tcPr>
          <w:p w14:paraId="7954DA5F" w14:textId="77777777" w:rsidR="00727404" w:rsidRDefault="00000000">
            <w:pPr>
              <w:spacing w:line="248" w:lineRule="auto"/>
            </w:pPr>
            <w:r>
              <w:rPr>
                <w:sz w:val="20"/>
                <w:szCs w:val="20"/>
              </w:rPr>
              <w:t>Perforation of the womb</w:t>
            </w:r>
          </w:p>
        </w:tc>
        <w:tc>
          <w:tcPr>
            <w:tcW w:w="1500" w:type="dxa"/>
            <w:tcBorders>
              <w:top w:val="single" w:sz="1" w:space="0" w:color="D8DEE6"/>
              <w:left w:val="single" w:sz="1" w:space="0" w:color="D8DEE6"/>
              <w:bottom w:val="single" w:sz="1" w:space="0" w:color="D8DEE6"/>
              <w:right w:val="single" w:sz="1" w:space="0" w:color="D8DEE6"/>
            </w:tcBorders>
            <w:shd w:val="clear" w:color="auto" w:fill="F4F7FB"/>
            <w:tcMar>
              <w:top w:w="60" w:type="dxa"/>
              <w:left w:w="120" w:type="dxa"/>
              <w:bottom w:w="60" w:type="dxa"/>
              <w:right w:w="100" w:type="dxa"/>
            </w:tcMar>
          </w:tcPr>
          <w:p w14:paraId="474A56BD" w14:textId="77777777" w:rsidR="00727404" w:rsidRDefault="00000000">
            <w:pPr>
              <w:spacing w:line="248" w:lineRule="auto"/>
            </w:pPr>
            <w:r>
              <w:rPr>
                <w:b/>
                <w:bCs/>
                <w:sz w:val="20"/>
                <w:szCs w:val="20"/>
              </w:rPr>
              <w:t>1–2 per 1000</w:t>
            </w:r>
          </w:p>
        </w:tc>
        <w:tc>
          <w:tcPr>
            <w:tcW w:w="5226" w:type="dxa"/>
            <w:tcBorders>
              <w:top w:val="single" w:sz="1" w:space="0" w:color="D8DEE6"/>
              <w:left w:val="single" w:sz="1" w:space="0" w:color="D8DEE6"/>
              <w:bottom w:val="single" w:sz="1" w:space="0" w:color="D8DEE6"/>
              <w:right w:val="single" w:sz="1" w:space="0" w:color="D8DEE6"/>
            </w:tcBorders>
            <w:shd w:val="clear" w:color="auto" w:fill="F4F7FB"/>
            <w:tcMar>
              <w:top w:w="60" w:type="dxa"/>
              <w:left w:w="120" w:type="dxa"/>
              <w:bottom w:w="60" w:type="dxa"/>
              <w:right w:w="100" w:type="dxa"/>
            </w:tcMar>
          </w:tcPr>
          <w:p w14:paraId="09EE5D9D" w14:textId="77777777" w:rsidR="00727404" w:rsidRDefault="00000000">
            <w:pPr>
              <w:spacing w:line="248" w:lineRule="auto"/>
            </w:pPr>
            <w:r>
              <w:rPr>
                <w:sz w:val="20"/>
                <w:szCs w:val="20"/>
              </w:rPr>
              <w:t>Higher if recently given birth or breastfeeding. Still low overall.</w:t>
            </w:r>
          </w:p>
        </w:tc>
      </w:tr>
      <w:tr w:rsidR="00727404" w14:paraId="63959998" w14:textId="77777777">
        <w:tblPrEx>
          <w:tblCellMar>
            <w:top w:w="0" w:type="dxa"/>
            <w:bottom w:w="0" w:type="dxa"/>
          </w:tblCellMar>
        </w:tblPrEx>
        <w:tc>
          <w:tcPr>
            <w:tcW w:w="2300" w:type="dxa"/>
            <w:tcBorders>
              <w:top w:val="single" w:sz="1" w:space="0" w:color="D8DEE6"/>
              <w:left w:val="single" w:sz="1" w:space="0" w:color="D8DEE6"/>
              <w:bottom w:val="single" w:sz="1" w:space="0" w:color="D8DEE6"/>
              <w:right w:val="single" w:sz="1" w:space="0" w:color="D8DEE6"/>
            </w:tcBorders>
            <w:shd w:val="clear" w:color="auto" w:fill="FFFFFF"/>
            <w:tcMar>
              <w:top w:w="60" w:type="dxa"/>
              <w:left w:w="120" w:type="dxa"/>
              <w:bottom w:w="60" w:type="dxa"/>
              <w:right w:w="100" w:type="dxa"/>
            </w:tcMar>
          </w:tcPr>
          <w:p w14:paraId="04D7862F" w14:textId="77777777" w:rsidR="00727404" w:rsidRDefault="00000000">
            <w:pPr>
              <w:spacing w:line="248" w:lineRule="auto"/>
            </w:pPr>
            <w:r>
              <w:rPr>
                <w:sz w:val="20"/>
                <w:szCs w:val="20"/>
              </w:rPr>
              <w:t>Pelvic infection (PID)</w:t>
            </w:r>
          </w:p>
        </w:tc>
        <w:tc>
          <w:tcPr>
            <w:tcW w:w="1500" w:type="dxa"/>
            <w:tcBorders>
              <w:top w:val="single" w:sz="1" w:space="0" w:color="D8DEE6"/>
              <w:left w:val="single" w:sz="1" w:space="0" w:color="D8DEE6"/>
              <w:bottom w:val="single" w:sz="1" w:space="0" w:color="D8DEE6"/>
              <w:right w:val="single" w:sz="1" w:space="0" w:color="D8DEE6"/>
            </w:tcBorders>
            <w:shd w:val="clear" w:color="auto" w:fill="FFFFFF"/>
            <w:tcMar>
              <w:top w:w="60" w:type="dxa"/>
              <w:left w:w="120" w:type="dxa"/>
              <w:bottom w:w="60" w:type="dxa"/>
              <w:right w:w="100" w:type="dxa"/>
            </w:tcMar>
          </w:tcPr>
          <w:p w14:paraId="5B436D39" w14:textId="77777777" w:rsidR="00727404" w:rsidRDefault="00000000">
            <w:pPr>
              <w:spacing w:line="248" w:lineRule="auto"/>
            </w:pPr>
            <w:r>
              <w:rPr>
                <w:b/>
                <w:bCs/>
                <w:sz w:val="20"/>
                <w:szCs w:val="20"/>
              </w:rPr>
              <w:t>&lt; 1%</w:t>
            </w:r>
          </w:p>
        </w:tc>
        <w:tc>
          <w:tcPr>
            <w:tcW w:w="5226" w:type="dxa"/>
            <w:tcBorders>
              <w:top w:val="single" w:sz="1" w:space="0" w:color="D8DEE6"/>
              <w:left w:val="single" w:sz="1" w:space="0" w:color="D8DEE6"/>
              <w:bottom w:val="single" w:sz="1" w:space="0" w:color="D8DEE6"/>
              <w:right w:val="single" w:sz="1" w:space="0" w:color="D8DEE6"/>
            </w:tcBorders>
            <w:shd w:val="clear" w:color="auto" w:fill="FFFFFF"/>
            <w:tcMar>
              <w:top w:w="60" w:type="dxa"/>
              <w:left w:w="120" w:type="dxa"/>
              <w:bottom w:w="60" w:type="dxa"/>
              <w:right w:w="100" w:type="dxa"/>
            </w:tcMar>
          </w:tcPr>
          <w:p w14:paraId="44C20DBB" w14:textId="77777777" w:rsidR="00727404" w:rsidRDefault="00000000">
            <w:pPr>
              <w:spacing w:line="248" w:lineRule="auto"/>
            </w:pPr>
            <w:r>
              <w:rPr>
                <w:sz w:val="20"/>
                <w:szCs w:val="20"/>
              </w:rPr>
              <w:t>Mainly in the first ~20 days after fitting. STI screening reduces risk.</w:t>
            </w:r>
          </w:p>
        </w:tc>
      </w:tr>
      <w:tr w:rsidR="00727404" w14:paraId="7296F367" w14:textId="77777777">
        <w:tblPrEx>
          <w:tblCellMar>
            <w:top w:w="0" w:type="dxa"/>
            <w:bottom w:w="0" w:type="dxa"/>
          </w:tblCellMar>
        </w:tblPrEx>
        <w:tc>
          <w:tcPr>
            <w:tcW w:w="2300" w:type="dxa"/>
            <w:tcBorders>
              <w:top w:val="single" w:sz="1" w:space="0" w:color="D8DEE6"/>
              <w:left w:val="single" w:sz="1" w:space="0" w:color="D8DEE6"/>
              <w:bottom w:val="single" w:sz="1" w:space="0" w:color="D8DEE6"/>
              <w:right w:val="single" w:sz="1" w:space="0" w:color="D8DEE6"/>
            </w:tcBorders>
            <w:shd w:val="clear" w:color="auto" w:fill="F4F7FB"/>
            <w:tcMar>
              <w:top w:w="60" w:type="dxa"/>
              <w:left w:w="120" w:type="dxa"/>
              <w:bottom w:w="60" w:type="dxa"/>
              <w:right w:w="100" w:type="dxa"/>
            </w:tcMar>
          </w:tcPr>
          <w:p w14:paraId="7D32542D" w14:textId="77777777" w:rsidR="00727404" w:rsidRDefault="00000000">
            <w:pPr>
              <w:spacing w:line="248" w:lineRule="auto"/>
            </w:pPr>
            <w:r>
              <w:rPr>
                <w:sz w:val="20"/>
                <w:szCs w:val="20"/>
              </w:rPr>
              <w:t>Failure / ectopic</w:t>
            </w:r>
          </w:p>
        </w:tc>
        <w:tc>
          <w:tcPr>
            <w:tcW w:w="1500" w:type="dxa"/>
            <w:tcBorders>
              <w:top w:val="single" w:sz="1" w:space="0" w:color="D8DEE6"/>
              <w:left w:val="single" w:sz="1" w:space="0" w:color="D8DEE6"/>
              <w:bottom w:val="single" w:sz="1" w:space="0" w:color="D8DEE6"/>
              <w:right w:val="single" w:sz="1" w:space="0" w:color="D8DEE6"/>
            </w:tcBorders>
            <w:shd w:val="clear" w:color="auto" w:fill="F4F7FB"/>
            <w:tcMar>
              <w:top w:w="60" w:type="dxa"/>
              <w:left w:w="120" w:type="dxa"/>
              <w:bottom w:w="60" w:type="dxa"/>
              <w:right w:w="100" w:type="dxa"/>
            </w:tcMar>
          </w:tcPr>
          <w:p w14:paraId="0ED43B23" w14:textId="77777777" w:rsidR="00727404" w:rsidRDefault="00000000">
            <w:pPr>
              <w:spacing w:line="248" w:lineRule="auto"/>
            </w:pPr>
            <w:r>
              <w:rPr>
                <w:b/>
                <w:bCs/>
                <w:sz w:val="20"/>
                <w:szCs w:val="20"/>
              </w:rPr>
              <w:t>~0.1% fail</w:t>
            </w:r>
          </w:p>
        </w:tc>
        <w:tc>
          <w:tcPr>
            <w:tcW w:w="5226" w:type="dxa"/>
            <w:tcBorders>
              <w:top w:val="single" w:sz="1" w:space="0" w:color="D8DEE6"/>
              <w:left w:val="single" w:sz="1" w:space="0" w:color="D8DEE6"/>
              <w:bottom w:val="single" w:sz="1" w:space="0" w:color="D8DEE6"/>
              <w:right w:val="single" w:sz="1" w:space="0" w:color="D8DEE6"/>
            </w:tcBorders>
            <w:shd w:val="clear" w:color="auto" w:fill="F4F7FB"/>
            <w:tcMar>
              <w:top w:w="60" w:type="dxa"/>
              <w:left w:w="120" w:type="dxa"/>
              <w:bottom w:w="60" w:type="dxa"/>
              <w:right w:w="100" w:type="dxa"/>
            </w:tcMar>
          </w:tcPr>
          <w:p w14:paraId="7EED59B2" w14:textId="77777777" w:rsidR="00727404" w:rsidRDefault="00000000">
            <w:pPr>
              <w:spacing w:line="248" w:lineRule="auto"/>
            </w:pPr>
            <w:r>
              <w:rPr>
                <w:sz w:val="20"/>
                <w:szCs w:val="20"/>
              </w:rPr>
              <w:t>If it does fail, a higher proportion are ectopic – any positive test needs an urgent scan.</w:t>
            </w:r>
          </w:p>
        </w:tc>
      </w:tr>
      <w:tr w:rsidR="00727404" w14:paraId="5FB9D305" w14:textId="77777777">
        <w:tblPrEx>
          <w:tblCellMar>
            <w:top w:w="0" w:type="dxa"/>
            <w:bottom w:w="0" w:type="dxa"/>
          </w:tblCellMar>
        </w:tblPrEx>
        <w:tc>
          <w:tcPr>
            <w:tcW w:w="2300" w:type="dxa"/>
            <w:tcBorders>
              <w:top w:val="single" w:sz="1" w:space="0" w:color="D8DEE6"/>
              <w:left w:val="single" w:sz="1" w:space="0" w:color="D8DEE6"/>
              <w:bottom w:val="single" w:sz="1" w:space="0" w:color="D8DEE6"/>
              <w:right w:val="single" w:sz="1" w:space="0" w:color="D8DEE6"/>
            </w:tcBorders>
            <w:shd w:val="clear" w:color="auto" w:fill="FFFFFF"/>
            <w:tcMar>
              <w:top w:w="60" w:type="dxa"/>
              <w:left w:w="120" w:type="dxa"/>
              <w:bottom w:w="60" w:type="dxa"/>
              <w:right w:w="100" w:type="dxa"/>
            </w:tcMar>
          </w:tcPr>
          <w:p w14:paraId="2404AC6F" w14:textId="77777777" w:rsidR="00727404" w:rsidRDefault="00000000">
            <w:pPr>
              <w:spacing w:line="248" w:lineRule="auto"/>
            </w:pPr>
            <w:r>
              <w:rPr>
                <w:sz w:val="20"/>
                <w:szCs w:val="20"/>
              </w:rPr>
              <w:t>Effect on periods</w:t>
            </w:r>
          </w:p>
        </w:tc>
        <w:tc>
          <w:tcPr>
            <w:tcW w:w="1500" w:type="dxa"/>
            <w:tcBorders>
              <w:top w:val="single" w:sz="1" w:space="0" w:color="D8DEE6"/>
              <w:left w:val="single" w:sz="1" w:space="0" w:color="D8DEE6"/>
              <w:bottom w:val="single" w:sz="1" w:space="0" w:color="D8DEE6"/>
              <w:right w:val="single" w:sz="1" w:space="0" w:color="D8DEE6"/>
            </w:tcBorders>
            <w:shd w:val="clear" w:color="auto" w:fill="FFFFFF"/>
            <w:tcMar>
              <w:top w:w="60" w:type="dxa"/>
              <w:left w:w="120" w:type="dxa"/>
              <w:bottom w:w="60" w:type="dxa"/>
              <w:right w:w="100" w:type="dxa"/>
            </w:tcMar>
          </w:tcPr>
          <w:p w14:paraId="6257D518" w14:textId="77777777" w:rsidR="00727404" w:rsidRDefault="00000000">
            <w:pPr>
              <w:spacing w:line="248" w:lineRule="auto"/>
            </w:pPr>
            <w:r>
              <w:rPr>
                <w:sz w:val="20"/>
                <w:szCs w:val="20"/>
              </w:rPr>
              <w:t>Common</w:t>
            </w:r>
          </w:p>
        </w:tc>
        <w:tc>
          <w:tcPr>
            <w:tcW w:w="5226" w:type="dxa"/>
            <w:tcBorders>
              <w:top w:val="single" w:sz="1" w:space="0" w:color="D8DEE6"/>
              <w:left w:val="single" w:sz="1" w:space="0" w:color="D8DEE6"/>
              <w:bottom w:val="single" w:sz="1" w:space="0" w:color="D8DEE6"/>
              <w:right w:val="single" w:sz="1" w:space="0" w:color="D8DEE6"/>
            </w:tcBorders>
            <w:shd w:val="clear" w:color="auto" w:fill="FFFFFF"/>
            <w:tcMar>
              <w:top w:w="60" w:type="dxa"/>
              <w:left w:w="120" w:type="dxa"/>
              <w:bottom w:w="60" w:type="dxa"/>
              <w:right w:w="100" w:type="dxa"/>
            </w:tcMar>
          </w:tcPr>
          <w:p w14:paraId="5E96F174" w14:textId="77777777" w:rsidR="00727404" w:rsidRDefault="00000000">
            <w:pPr>
              <w:spacing w:line="248" w:lineRule="auto"/>
            </w:pPr>
            <w:r>
              <w:rPr>
                <w:sz w:val="20"/>
                <w:szCs w:val="20"/>
              </w:rPr>
              <w:t xml:space="preserve">Periods can be heavier, longer or </w:t>
            </w:r>
            <w:proofErr w:type="gramStart"/>
            <w:r>
              <w:rPr>
                <w:sz w:val="20"/>
                <w:szCs w:val="20"/>
              </w:rPr>
              <w:t>more crampy</w:t>
            </w:r>
            <w:proofErr w:type="gramEnd"/>
            <w:r>
              <w:rPr>
                <w:sz w:val="20"/>
                <w:szCs w:val="20"/>
              </w:rPr>
              <w:t xml:space="preserve"> with a copper coil.</w:t>
            </w:r>
          </w:p>
        </w:tc>
      </w:tr>
    </w:tbl>
    <w:p w14:paraId="76E14586" w14:textId="77777777" w:rsidR="00727404" w:rsidRDefault="00000000">
      <w:pPr>
        <w:spacing w:before="60" w:after="120"/>
      </w:pPr>
      <w:r>
        <w:rPr>
          <w:i/>
          <w:iCs/>
          <w:color w:val="5A6470"/>
          <w:sz w:val="18"/>
          <w:szCs w:val="18"/>
        </w:rPr>
        <w:t>Source: FSRH Intrauterine Contraception (March 2023, amended Jan 2025).</w:t>
      </w:r>
    </w:p>
    <w:p w14:paraId="3B35164C" w14:textId="77777777" w:rsidR="00727404" w:rsidRDefault="00000000">
      <w:pPr>
        <w:keepNext/>
        <w:spacing w:before="160" w:after="60"/>
      </w:pPr>
      <w:r>
        <w:rPr>
          <w:b/>
          <w:bCs/>
          <w:color w:val="21466E"/>
          <w:sz w:val="23"/>
          <w:szCs w:val="23"/>
        </w:rPr>
        <w:t>Infection: STI screening, not routine antibiotics</w:t>
      </w:r>
    </w:p>
    <w:tbl>
      <w:tblPr>
        <w:tblW w:w="9026" w:type="dxa"/>
        <w:tblBorders>
          <w:top w:val="none" w:sz="0" w:space="0" w:color="FFFFFF"/>
          <w:left w:val="single" w:sz="24" w:space="0" w:color="E0A106"/>
          <w:bottom w:val="none" w:sz="0" w:space="0" w:color="FFFFFF"/>
          <w:right w:val="none" w:sz="0" w:space="0" w:color="FFFFFF"/>
          <w:insideH w:val="none" w:sz="0" w:space="0" w:color="FFFFFF"/>
          <w:insideV w:val="none" w:sz="0" w:space="0" w:color="FFFFFF"/>
        </w:tblBorders>
        <w:tblCellMar>
          <w:left w:w="10" w:type="dxa"/>
          <w:right w:w="10" w:type="dxa"/>
        </w:tblCellMar>
        <w:tblLook w:val="04A0" w:firstRow="1" w:lastRow="0" w:firstColumn="1" w:lastColumn="0" w:noHBand="0" w:noVBand="1"/>
      </w:tblPr>
      <w:tblGrid>
        <w:gridCol w:w="9026"/>
      </w:tblGrid>
      <w:tr w:rsidR="00727404" w14:paraId="56D93D66" w14:textId="77777777">
        <w:tblPrEx>
          <w:tblCellMar>
            <w:top w:w="0" w:type="dxa"/>
            <w:bottom w:w="0" w:type="dxa"/>
          </w:tblCellMar>
        </w:tblPrEx>
        <w:tc>
          <w:tcPr>
            <w:tcW w:w="9026" w:type="dxa"/>
            <w:shd w:val="clear" w:color="auto" w:fill="FBF3E0"/>
            <w:tcMar>
              <w:top w:w="120" w:type="dxa"/>
              <w:left w:w="200" w:type="dxa"/>
              <w:bottom w:w="120" w:type="dxa"/>
              <w:right w:w="160" w:type="dxa"/>
            </w:tcMar>
          </w:tcPr>
          <w:p w14:paraId="7EA53BBF" w14:textId="77777777" w:rsidR="00727404" w:rsidRDefault="00000000">
            <w:pPr>
              <w:spacing w:after="40"/>
            </w:pPr>
            <w:r>
              <w:rPr>
                <w:b/>
                <w:bCs/>
                <w:color w:val="9A6B0C"/>
              </w:rPr>
              <w:t>This has changed – please read</w:t>
            </w:r>
          </w:p>
          <w:p w14:paraId="23F1FBEF" w14:textId="77777777" w:rsidR="00727404" w:rsidRDefault="00000000">
            <w:pPr>
              <w:spacing w:after="40" w:line="252" w:lineRule="auto"/>
            </w:pPr>
            <w:r>
              <w:rPr>
                <w:b/>
                <w:bCs/>
                <w:color w:val="9A6B0C"/>
                <w:sz w:val="20"/>
                <w:szCs w:val="20"/>
              </w:rPr>
              <w:t xml:space="preserve">Do NOT give routine antibiotics for a coil fitting. </w:t>
            </w:r>
            <w:r>
              <w:rPr>
                <w:sz w:val="20"/>
                <w:szCs w:val="20"/>
              </w:rPr>
              <w:t>The old blanket regimen (metronidazole + a week of doxycycline for everyone) is no longer recommended.</w:t>
            </w:r>
          </w:p>
          <w:p w14:paraId="155AC8E2" w14:textId="77777777" w:rsidR="00727404" w:rsidRDefault="00000000">
            <w:pPr>
              <w:spacing w:line="252" w:lineRule="auto"/>
            </w:pPr>
            <w:r>
              <w:rPr>
                <w:b/>
                <w:bCs/>
                <w:color w:val="9A6B0C"/>
                <w:sz w:val="20"/>
                <w:szCs w:val="20"/>
              </w:rPr>
              <w:t xml:space="preserve">Instead: </w:t>
            </w:r>
            <w:r>
              <w:rPr>
                <w:sz w:val="20"/>
                <w:szCs w:val="20"/>
              </w:rPr>
              <w:t>do an STI risk assessment and test as appropriate. Antibiotic cover is only considered for an urgent emergency coil when there is a significant STI risk with symptoms (e.g. doxycycline if high chlamydia risk) – a clinical judgement, discussed with the patient.</w:t>
            </w:r>
          </w:p>
        </w:tc>
      </w:tr>
    </w:tbl>
    <w:p w14:paraId="67154DD7" w14:textId="77777777" w:rsidR="00727404" w:rsidRDefault="00000000">
      <w:pPr>
        <w:spacing w:before="60" w:after="120"/>
      </w:pPr>
      <w:r>
        <w:rPr>
          <w:i/>
          <w:iCs/>
          <w:color w:val="5A6470"/>
          <w:sz w:val="18"/>
          <w:szCs w:val="18"/>
        </w:rPr>
        <w:t>Source: FSRH CEU Statement – Antibiotic cover for urgent insertion of IUC in those at high risk of STI; FSRH Intrauterine Contraception (2023).</w:t>
      </w:r>
    </w:p>
    <w:p w14:paraId="37581E80" w14:textId="77777777" w:rsidR="00727404" w:rsidRDefault="00000000">
      <w:pPr>
        <w:keepNext/>
        <w:spacing w:before="160" w:after="60"/>
      </w:pPr>
      <w:r>
        <w:rPr>
          <w:b/>
          <w:bCs/>
          <w:color w:val="21466E"/>
          <w:sz w:val="23"/>
          <w:szCs w:val="23"/>
        </w:rPr>
        <w:lastRenderedPageBreak/>
        <w:t>Practical steps and back-up</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20"/>
        <w:gridCol w:w="8506"/>
      </w:tblGrid>
      <w:tr w:rsidR="00727404" w14:paraId="6DB6473F"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4A96F5D5"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1C61C459" w14:textId="77777777" w:rsidR="00727404" w:rsidRDefault="00000000">
            <w:pPr>
              <w:spacing w:line="252" w:lineRule="auto"/>
            </w:pPr>
            <w:r>
              <w:rPr>
                <w:b/>
                <w:bCs/>
              </w:rPr>
              <w:t>Give oral EC as a back-up now</w:t>
            </w:r>
            <w:r>
              <w:t xml:space="preserve"> if there is any chance the fitting is delayed, not possible, or she changes her mind.</w:t>
            </w:r>
          </w:p>
        </w:tc>
      </w:tr>
      <w:tr w:rsidR="00727404" w14:paraId="2032A232"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04D82F94"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74A6059F" w14:textId="77777777" w:rsidR="00727404" w:rsidRDefault="00000000">
            <w:pPr>
              <w:spacing w:line="252" w:lineRule="auto"/>
            </w:pPr>
            <w:r>
              <w:rPr>
                <w:b/>
                <w:bCs/>
              </w:rPr>
              <w:t>No bridging contraception is needed for the copper coil</w:t>
            </w:r>
            <w:r>
              <w:t xml:space="preserve"> – it is effective immediately. (A levonorgestrel coil, by contrast, takes 7 days.)</w:t>
            </w:r>
          </w:p>
        </w:tc>
      </w:tr>
      <w:tr w:rsidR="00727404" w14:paraId="7625A8B3"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51850E56"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7883DF97" w14:textId="77777777" w:rsidR="00727404" w:rsidRDefault="00000000">
            <w:pPr>
              <w:spacing w:line="252" w:lineRule="auto"/>
            </w:pPr>
            <w:r>
              <w:t>Teach her how to feel for the threads after each period.</w:t>
            </w:r>
          </w:p>
        </w:tc>
      </w:tr>
      <w:tr w:rsidR="00727404" w14:paraId="3436DE3A" w14:textId="77777777">
        <w:tblPrEx>
          <w:tblCellMar>
            <w:top w:w="0" w:type="dxa"/>
            <w:bottom w:w="0" w:type="dxa"/>
          </w:tblCellMar>
        </w:tblPrEx>
        <w:tc>
          <w:tcPr>
            <w:tcW w:w="520" w:type="dxa"/>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1DC5DD2E"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4AC2F4D1" w14:textId="77777777" w:rsidR="00727404" w:rsidRDefault="00000000">
            <w:pPr>
              <w:spacing w:line="252" w:lineRule="auto"/>
            </w:pPr>
            <w:r>
              <w:t xml:space="preserve">Give a leaflet stating the type of device </w:t>
            </w:r>
            <w:proofErr w:type="gramStart"/>
            <w:r>
              <w:t>fitted, and</w:t>
            </w:r>
            <w:proofErr w:type="gramEnd"/>
            <w:r>
              <w:t xml:space="preserve"> write to / record for the GP as needed.</w:t>
            </w:r>
          </w:p>
        </w:tc>
      </w:tr>
    </w:tbl>
    <w:p w14:paraId="37F82AEA" w14:textId="77777777" w:rsidR="00727404" w:rsidRDefault="00000000">
      <w:pPr>
        <w:keepNext/>
        <w:spacing w:before="160" w:after="60"/>
      </w:pPr>
      <w:r>
        <w:rPr>
          <w:b/>
          <w:bCs/>
          <w:color w:val="21466E"/>
          <w:sz w:val="23"/>
          <w:szCs w:val="23"/>
        </w:rPr>
        <w:t>Safety-net and follow-up</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9"/>
        <w:gridCol w:w="490"/>
        <w:gridCol w:w="8478"/>
        <w:gridCol w:w="29"/>
      </w:tblGrid>
      <w:tr w:rsidR="00727404" w14:paraId="086E27EF" w14:textId="77777777">
        <w:tblPrEx>
          <w:tblCellMar>
            <w:top w:w="0" w:type="dxa"/>
            <w:bottom w:w="0" w:type="dxa"/>
          </w:tblCellMar>
        </w:tblPrEx>
        <w:trPr>
          <w:gridAfter w:val="1"/>
          <w:wAfter w:w="29" w:type="dxa"/>
        </w:trPr>
        <w:tc>
          <w:tcPr>
            <w:tcW w:w="520" w:type="dxa"/>
            <w:gridSpan w:val="2"/>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469336AA"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18A4E191" w14:textId="77777777" w:rsidR="00727404" w:rsidRDefault="00000000">
            <w:pPr>
              <w:spacing w:line="252" w:lineRule="auto"/>
            </w:pPr>
            <w:r>
              <w:rPr>
                <w:b/>
                <w:bCs/>
              </w:rPr>
              <w:t xml:space="preserve">Seek urgent help for: </w:t>
            </w:r>
            <w:r>
              <w:t>lower abdominal pain, fever, unusual or smelly discharge, threads she cannot feel, or a positive pregnancy test.</w:t>
            </w:r>
          </w:p>
        </w:tc>
      </w:tr>
      <w:tr w:rsidR="00727404" w14:paraId="695E12A4" w14:textId="77777777">
        <w:tblPrEx>
          <w:tblCellMar>
            <w:top w:w="0" w:type="dxa"/>
            <w:bottom w:w="0" w:type="dxa"/>
          </w:tblCellMar>
        </w:tblPrEx>
        <w:trPr>
          <w:gridAfter w:val="1"/>
          <w:wAfter w:w="29" w:type="dxa"/>
        </w:trPr>
        <w:tc>
          <w:tcPr>
            <w:tcW w:w="520" w:type="dxa"/>
            <w:gridSpan w:val="2"/>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04FEAE68"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39757032" w14:textId="77777777" w:rsidR="00727404" w:rsidRDefault="00000000">
            <w:pPr>
              <w:spacing w:line="252" w:lineRule="auto"/>
            </w:pPr>
            <w:r>
              <w:rPr>
                <w:b/>
                <w:bCs/>
              </w:rPr>
              <w:t>A positive pregnancy test with a coil in place needs an urgent pelvic ultrasound</w:t>
            </w:r>
            <w:r>
              <w:t xml:space="preserve"> to locate the pregnancy and exclude ectopic.</w:t>
            </w:r>
          </w:p>
        </w:tc>
      </w:tr>
      <w:tr w:rsidR="00727404" w14:paraId="546BA869" w14:textId="77777777">
        <w:tblPrEx>
          <w:tblCellMar>
            <w:top w:w="0" w:type="dxa"/>
            <w:bottom w:w="0" w:type="dxa"/>
          </w:tblCellMar>
        </w:tblPrEx>
        <w:trPr>
          <w:gridAfter w:val="1"/>
          <w:wAfter w:w="29" w:type="dxa"/>
        </w:trPr>
        <w:tc>
          <w:tcPr>
            <w:tcW w:w="520" w:type="dxa"/>
            <w:gridSpan w:val="2"/>
            <w:tcBorders>
              <w:top w:val="single" w:sz="1" w:space="0" w:color="D8DEE6"/>
              <w:left w:val="single" w:sz="1" w:space="0" w:color="D8DEE6"/>
              <w:bottom w:val="single" w:sz="1" w:space="0" w:color="D8DEE6"/>
              <w:right w:val="single" w:sz="1" w:space="0" w:color="D8DEE6"/>
            </w:tcBorders>
            <w:shd w:val="clear" w:color="auto" w:fill="FFFFFF"/>
            <w:tcMar>
              <w:top w:w="70" w:type="dxa"/>
              <w:left w:w="80" w:type="dxa"/>
              <w:bottom w:w="70" w:type="dxa"/>
              <w:right w:w="40" w:type="dxa"/>
            </w:tcMar>
          </w:tcPr>
          <w:p w14:paraId="58FE0DAB" w14:textId="77777777" w:rsidR="00727404" w:rsidRDefault="00000000">
            <w:pPr>
              <w:jc w:val="center"/>
            </w:pPr>
            <w:r>
              <w:rPr>
                <w:color w:val="E0701A"/>
                <w:sz w:val="26"/>
                <w:szCs w:val="26"/>
              </w:rPr>
              <w:t>☐</w:t>
            </w:r>
          </w:p>
        </w:tc>
        <w:tc>
          <w:tcPr>
            <w:tcW w:w="8506" w:type="dxa"/>
            <w:tcBorders>
              <w:top w:val="single" w:sz="1" w:space="0" w:color="D8DEE6"/>
              <w:left w:val="single" w:sz="1" w:space="0" w:color="D8DEE6"/>
              <w:bottom w:val="single" w:sz="1" w:space="0" w:color="D8DEE6"/>
              <w:right w:val="single" w:sz="1" w:space="0" w:color="D8DEE6"/>
            </w:tcBorders>
            <w:shd w:val="clear" w:color="auto" w:fill="FFFFFF"/>
            <w:tcMar>
              <w:top w:w="70" w:type="dxa"/>
              <w:left w:w="120" w:type="dxa"/>
              <w:bottom w:w="70" w:type="dxa"/>
              <w:right w:w="140" w:type="dxa"/>
            </w:tcMar>
          </w:tcPr>
          <w:p w14:paraId="255F4F23" w14:textId="77777777" w:rsidR="00727404" w:rsidRDefault="00000000">
            <w:pPr>
              <w:spacing w:line="252" w:lineRule="auto"/>
            </w:pPr>
            <w:r>
              <w:t>Arrange follow-up after the next period (around 3–6 weeks) to check threads, symptoms and ongoing contraception plan.</w:t>
            </w:r>
          </w:p>
        </w:tc>
      </w:tr>
      <w:tr w:rsidR="00727404" w14:paraId="4F510F91" w14:textId="77777777">
        <w:tblPrEx>
          <w:tblBorders>
            <w:top w:val="none" w:sz="0" w:space="0" w:color="FFFFFF"/>
            <w:left w:val="single" w:sz="24" w:space="0" w:color="1F6FB2"/>
            <w:bottom w:val="none" w:sz="0" w:space="0" w:color="FFFFFF"/>
            <w:right w:val="none" w:sz="0" w:space="0" w:color="FFFFFF"/>
            <w:insideH w:val="none" w:sz="0" w:space="0" w:color="FFFFFF"/>
            <w:insideV w:val="none" w:sz="0" w:space="0" w:color="FFFFFF"/>
          </w:tblBorders>
          <w:tblCellMar>
            <w:top w:w="0" w:type="dxa"/>
            <w:bottom w:w="0" w:type="dxa"/>
          </w:tblCellMar>
        </w:tblPrEx>
        <w:trPr>
          <w:gridBefore w:val="1"/>
          <w:wBefore w:w="29" w:type="dxa"/>
        </w:trPr>
        <w:tc>
          <w:tcPr>
            <w:tcW w:w="9026" w:type="dxa"/>
            <w:gridSpan w:val="3"/>
            <w:shd w:val="clear" w:color="auto" w:fill="E9F1F8"/>
            <w:tcMar>
              <w:top w:w="120" w:type="dxa"/>
              <w:left w:w="200" w:type="dxa"/>
              <w:bottom w:w="120" w:type="dxa"/>
              <w:right w:w="160" w:type="dxa"/>
            </w:tcMar>
          </w:tcPr>
          <w:p w14:paraId="4128B4E9" w14:textId="77777777" w:rsidR="00727404" w:rsidRDefault="00000000">
            <w:pPr>
              <w:spacing w:after="40"/>
            </w:pPr>
            <w:r>
              <w:rPr>
                <w:b/>
                <w:bCs/>
                <w:color w:val="1B5E92"/>
              </w:rPr>
              <w:t>Two old instructions you can drop</w:t>
            </w:r>
          </w:p>
          <w:p w14:paraId="51B136A5" w14:textId="77777777" w:rsidR="00727404" w:rsidRDefault="00000000">
            <w:pPr>
              <w:spacing w:after="40" w:line="252" w:lineRule="auto"/>
            </w:pPr>
            <w:r>
              <w:rPr>
                <w:b/>
                <w:bCs/>
                <w:color w:val="1B5E92"/>
                <w:sz w:val="20"/>
                <w:szCs w:val="20"/>
              </w:rPr>
              <w:t>“Avoid tampons during the first period”</w:t>
            </w:r>
            <w:r>
              <w:rPr>
                <w:sz w:val="20"/>
                <w:szCs w:val="20"/>
              </w:rPr>
              <w:t xml:space="preserve"> – this is not evidence-based and is no longer advised. Focus instead on safety-netting and thread checks.</w:t>
            </w:r>
          </w:p>
          <w:p w14:paraId="168A3647" w14:textId="77777777" w:rsidR="00727404" w:rsidRDefault="00000000">
            <w:pPr>
              <w:spacing w:line="252" w:lineRule="auto"/>
            </w:pPr>
            <w:r>
              <w:rPr>
                <w:b/>
                <w:bCs/>
                <w:color w:val="1B5E92"/>
                <w:sz w:val="20"/>
                <w:szCs w:val="20"/>
              </w:rPr>
              <w:t>“Use alternative contraception until follow-up”</w:t>
            </w:r>
            <w:r>
              <w:rPr>
                <w:sz w:val="20"/>
                <w:szCs w:val="20"/>
              </w:rPr>
              <w:t xml:space="preserve"> – not needed for a copper coil, which protects immediately.</w:t>
            </w:r>
          </w:p>
        </w:tc>
      </w:tr>
    </w:tbl>
    <w:p w14:paraId="73CF1C58" w14:textId="77777777" w:rsidR="00727404" w:rsidRDefault="00727404">
      <w:pPr>
        <w:spacing w:after="200"/>
      </w:pPr>
    </w:p>
    <w:p w14:paraId="6B7F40AC" w14:textId="77777777" w:rsidR="00727404" w:rsidRDefault="00000000">
      <w:pPr>
        <w:keepNext/>
        <w:spacing w:after="120"/>
      </w:pPr>
      <w:r>
        <w:rPr>
          <w:b/>
          <w:bCs/>
          <w:color w:val="16314F"/>
          <w:sz w:val="26"/>
          <w:szCs w:val="26"/>
        </w:rPr>
        <w:t>Key sources used</w:t>
      </w:r>
    </w:p>
    <w:p w14:paraId="0BE0E51F" w14:textId="77777777" w:rsidR="00727404" w:rsidRDefault="00000000">
      <w:pPr>
        <w:pStyle w:val="ListParagraph"/>
        <w:numPr>
          <w:ilvl w:val="0"/>
          <w:numId w:val="2"/>
        </w:numPr>
        <w:spacing w:after="60" w:line="252" w:lineRule="auto"/>
      </w:pPr>
      <w:r>
        <w:rPr>
          <w:sz w:val="19"/>
          <w:szCs w:val="19"/>
        </w:rPr>
        <w:t>FSRH Clinical Guideline: Emergency Contraception (March 2017, amended April 2026), Faculty of Sexual &amp; Reproductive Healthcare.</w:t>
      </w:r>
    </w:p>
    <w:p w14:paraId="4DC2999F" w14:textId="77777777" w:rsidR="00727404" w:rsidRDefault="00000000">
      <w:pPr>
        <w:pStyle w:val="ListParagraph"/>
        <w:numPr>
          <w:ilvl w:val="0"/>
          <w:numId w:val="2"/>
        </w:numPr>
        <w:spacing w:after="60" w:line="252" w:lineRule="auto"/>
      </w:pPr>
      <w:r>
        <w:rPr>
          <w:sz w:val="19"/>
          <w:szCs w:val="19"/>
        </w:rPr>
        <w:t>FSRH Clinical Guideline: Intrauterine Contraception (March 2023, amended January 2025), Faculty of Sexual &amp; Reproductive Healthcare.</w:t>
      </w:r>
    </w:p>
    <w:p w14:paraId="3D8C4DEA" w14:textId="77777777" w:rsidR="00727404" w:rsidRDefault="00000000">
      <w:pPr>
        <w:pStyle w:val="ListParagraph"/>
        <w:numPr>
          <w:ilvl w:val="0"/>
          <w:numId w:val="2"/>
        </w:numPr>
        <w:spacing w:after="60" w:line="252" w:lineRule="auto"/>
      </w:pPr>
      <w:r>
        <w:rPr>
          <w:sz w:val="19"/>
          <w:szCs w:val="19"/>
        </w:rPr>
        <w:t>FSRH CEU Statement: Antibiotic cover for urgent insertion of intrauterine contraception in those at high risk of STI.</w:t>
      </w:r>
    </w:p>
    <w:p w14:paraId="4A95EC17" w14:textId="77777777" w:rsidR="00727404" w:rsidRDefault="00000000">
      <w:pPr>
        <w:pStyle w:val="ListParagraph"/>
        <w:numPr>
          <w:ilvl w:val="0"/>
          <w:numId w:val="2"/>
        </w:numPr>
        <w:spacing w:after="60" w:line="252" w:lineRule="auto"/>
      </w:pPr>
      <w:r>
        <w:rPr>
          <w:sz w:val="19"/>
          <w:szCs w:val="19"/>
        </w:rPr>
        <w:t>NICE Clinical Knowledge Summaries (CKS): Contraception – emergency (2024).</w:t>
      </w:r>
    </w:p>
    <w:p w14:paraId="748EFF46" w14:textId="77777777" w:rsidR="00727404" w:rsidRDefault="00000000">
      <w:pPr>
        <w:pStyle w:val="ListParagraph"/>
        <w:numPr>
          <w:ilvl w:val="0"/>
          <w:numId w:val="2"/>
        </w:numPr>
        <w:spacing w:after="60" w:line="252" w:lineRule="auto"/>
      </w:pPr>
      <w:r>
        <w:rPr>
          <w:sz w:val="19"/>
          <w:szCs w:val="19"/>
        </w:rPr>
        <w:t>BNF and product Summaries of Product Characteristics (</w:t>
      </w:r>
      <w:proofErr w:type="spellStart"/>
      <w:r>
        <w:rPr>
          <w:sz w:val="19"/>
          <w:szCs w:val="19"/>
        </w:rPr>
        <w:t>ellaOne</w:t>
      </w:r>
      <w:proofErr w:type="spellEnd"/>
      <w:r>
        <w:rPr>
          <w:sz w:val="19"/>
          <w:szCs w:val="19"/>
        </w:rPr>
        <w:t xml:space="preserve"> 30 mg; </w:t>
      </w:r>
      <w:proofErr w:type="spellStart"/>
      <w:r>
        <w:rPr>
          <w:sz w:val="19"/>
          <w:szCs w:val="19"/>
        </w:rPr>
        <w:t>Levonelle</w:t>
      </w:r>
      <w:proofErr w:type="spellEnd"/>
      <w:r>
        <w:rPr>
          <w:sz w:val="19"/>
          <w:szCs w:val="19"/>
        </w:rPr>
        <w:t xml:space="preserve"> 1.5 mg) for doses.</w:t>
      </w:r>
    </w:p>
    <w:p w14:paraId="2CE4273A" w14:textId="77777777" w:rsidR="00727404" w:rsidRDefault="00000000">
      <w:pPr>
        <w:spacing w:before="60" w:after="120"/>
      </w:pPr>
      <w:r>
        <w:rPr>
          <w:i/>
          <w:iCs/>
          <w:color w:val="5A6470"/>
          <w:sz w:val="18"/>
          <w:szCs w:val="18"/>
        </w:rPr>
        <w:t>Doses and prescribing details were verified against the BNF / SPCs and FSRH guidance and should always be re-checked against the current BNF before prescribing.</w:t>
      </w:r>
    </w:p>
    <w:p w14:paraId="47C1AD38" w14:textId="77777777" w:rsidR="00727404" w:rsidRDefault="00727404">
      <w:pPr>
        <w:spacing w:after="120"/>
      </w:pPr>
    </w:p>
    <w:tbl>
      <w:tblPr>
        <w:tblW w:w="9026" w:type="dxa"/>
        <w:tblBorders>
          <w:top w:val="none" w:sz="0" w:space="0" w:color="FFFFFF"/>
          <w:left w:val="single" w:sz="24" w:space="0" w:color="6B4E9E"/>
          <w:bottom w:val="none" w:sz="0" w:space="0" w:color="FFFFFF"/>
          <w:right w:val="none" w:sz="0" w:space="0" w:color="FFFFFF"/>
          <w:insideH w:val="none" w:sz="0" w:space="0" w:color="FFFFFF"/>
          <w:insideV w:val="none" w:sz="0" w:space="0" w:color="FFFFFF"/>
        </w:tblBorders>
        <w:tblCellMar>
          <w:left w:w="10" w:type="dxa"/>
          <w:right w:w="10" w:type="dxa"/>
        </w:tblCellMar>
        <w:tblLook w:val="04A0" w:firstRow="1" w:lastRow="0" w:firstColumn="1" w:lastColumn="0" w:noHBand="0" w:noVBand="1"/>
      </w:tblPr>
      <w:tblGrid>
        <w:gridCol w:w="9026"/>
      </w:tblGrid>
      <w:tr w:rsidR="00727404" w14:paraId="6F8A79B4" w14:textId="77777777">
        <w:tblPrEx>
          <w:tblCellMar>
            <w:top w:w="0" w:type="dxa"/>
            <w:bottom w:w="0" w:type="dxa"/>
          </w:tblCellMar>
        </w:tblPrEx>
        <w:tc>
          <w:tcPr>
            <w:tcW w:w="9026" w:type="dxa"/>
            <w:shd w:val="clear" w:color="auto" w:fill="F0EAF8"/>
            <w:tcMar>
              <w:top w:w="120" w:type="dxa"/>
              <w:left w:w="200" w:type="dxa"/>
              <w:bottom w:w="120" w:type="dxa"/>
              <w:right w:w="160" w:type="dxa"/>
            </w:tcMar>
          </w:tcPr>
          <w:p w14:paraId="6C1F0C51" w14:textId="77777777" w:rsidR="00727404" w:rsidRDefault="00000000">
            <w:pPr>
              <w:spacing w:after="40"/>
            </w:pPr>
            <w:r>
              <w:rPr>
                <w:b/>
                <w:bCs/>
                <w:color w:val="5B4490"/>
              </w:rPr>
              <w:t>Disclaimer</w:t>
            </w:r>
          </w:p>
          <w:p w14:paraId="7E286A7F" w14:textId="77777777" w:rsidR="00727404" w:rsidRDefault="00000000">
            <w:pPr>
              <w:spacing w:line="252" w:lineRule="auto"/>
            </w:pPr>
            <w:r>
              <w:rPr>
                <w:sz w:val="20"/>
                <w:szCs w:val="20"/>
              </w:rPr>
              <w:t>This document is provided exclusively for educational and training purposes as a teaching aid. It does not constitute formal clinical guidance. The information must be independently verified by the individual user against current national guidance (including NICE, FSRH and the BNF), local policies, and relevant regulatory bodies for their area before being applied in practice.</w:t>
            </w:r>
          </w:p>
        </w:tc>
      </w:tr>
    </w:tbl>
    <w:p w14:paraId="2E6BDA10" w14:textId="77777777" w:rsidR="00F91E22" w:rsidRDefault="00F91E22"/>
    <w:sectPr w:rsidR="00F91E22">
      <w:footerReference w:type="default" r:id="rId7"/>
      <w:pgSz w:w="11906" w:h="16838"/>
      <w:pgMar w:top="1080" w:right="1440" w:bottom="108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3D28CE" w14:textId="77777777" w:rsidR="00F91E22" w:rsidRDefault="00F91E22">
      <w:r>
        <w:separator/>
      </w:r>
    </w:p>
  </w:endnote>
  <w:endnote w:type="continuationSeparator" w:id="0">
    <w:p w14:paraId="2A46BA20" w14:textId="77777777" w:rsidR="00F91E22" w:rsidRDefault="00F91E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DB820" w14:textId="77777777" w:rsidR="00727404" w:rsidRDefault="00000000">
    <w:pPr>
      <w:pBdr>
        <w:top w:val="single" w:sz="4" w:space="6" w:color="D8DEE6"/>
      </w:pBdr>
      <w:tabs>
        <w:tab w:val="right" w:pos="9026"/>
      </w:tabs>
      <w:spacing w:before="60"/>
    </w:pPr>
    <w:r>
      <w:rPr>
        <w:color w:val="5A6470"/>
        <w:sz w:val="15"/>
        <w:szCs w:val="15"/>
      </w:rPr>
      <w:t>Bradford VTS Teaching Aids — Emergency Contraception • Educational use only; verify against current guidance.</w:t>
    </w:r>
    <w:r>
      <w:rPr>
        <w:color w:val="5A6470"/>
        <w:sz w:val="15"/>
        <w:szCs w:val="15"/>
      </w:rPr>
      <w:tab/>
      <w:t xml:space="preserve">Page </w:t>
    </w:r>
    <w:r>
      <w:rPr>
        <w:color w:val="5A6470"/>
        <w:sz w:val="15"/>
        <w:szCs w:val="15"/>
      </w:rPr>
      <w:fldChar w:fldCharType="begin"/>
    </w:r>
    <w:r>
      <w:rPr>
        <w:color w:val="5A6470"/>
        <w:sz w:val="15"/>
        <w:szCs w:val="15"/>
      </w:rPr>
      <w:instrText>PAGE</w:instrText>
    </w:r>
    <w:r>
      <w:rPr>
        <w:color w:val="5A6470"/>
        <w:sz w:val="15"/>
        <w:szCs w:val="15"/>
      </w:rPr>
      <w:fldChar w:fldCharType="separate"/>
    </w:r>
    <w:r w:rsidR="007E09DC">
      <w:rPr>
        <w:noProof/>
        <w:color w:val="5A6470"/>
        <w:sz w:val="15"/>
        <w:szCs w:val="15"/>
      </w:rPr>
      <w:t>1</w:t>
    </w:r>
    <w:r>
      <w:rPr>
        <w:color w:val="5A6470"/>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D43566" w14:textId="77777777" w:rsidR="00F91E22" w:rsidRDefault="00F91E22">
      <w:r>
        <w:separator/>
      </w:r>
    </w:p>
  </w:footnote>
  <w:footnote w:type="continuationSeparator" w:id="0">
    <w:p w14:paraId="18DC8BC9" w14:textId="77777777" w:rsidR="00F91E22" w:rsidRDefault="00F91E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977AFA"/>
    <w:multiLevelType w:val="hybridMultilevel"/>
    <w:tmpl w:val="468A8D10"/>
    <w:lvl w:ilvl="0" w:tplc="359C0CEE">
      <w:start w:val="1"/>
      <w:numFmt w:val="bullet"/>
      <w:lvlText w:val="•"/>
      <w:lvlJc w:val="left"/>
      <w:pPr>
        <w:ind w:left="460" w:hanging="260"/>
      </w:pPr>
      <w:rPr>
        <w:color w:val="E0701A"/>
      </w:rPr>
    </w:lvl>
    <w:lvl w:ilvl="1" w:tplc="5B182AD4">
      <w:numFmt w:val="decimal"/>
      <w:lvlText w:val=""/>
      <w:lvlJc w:val="left"/>
    </w:lvl>
    <w:lvl w:ilvl="2" w:tplc="8EE0B4C2">
      <w:numFmt w:val="decimal"/>
      <w:lvlText w:val=""/>
      <w:lvlJc w:val="left"/>
    </w:lvl>
    <w:lvl w:ilvl="3" w:tplc="0B32F96E">
      <w:numFmt w:val="decimal"/>
      <w:lvlText w:val=""/>
      <w:lvlJc w:val="left"/>
    </w:lvl>
    <w:lvl w:ilvl="4" w:tplc="90F0CF26">
      <w:numFmt w:val="decimal"/>
      <w:lvlText w:val=""/>
      <w:lvlJc w:val="left"/>
    </w:lvl>
    <w:lvl w:ilvl="5" w:tplc="9DF6776E">
      <w:numFmt w:val="decimal"/>
      <w:lvlText w:val=""/>
      <w:lvlJc w:val="left"/>
    </w:lvl>
    <w:lvl w:ilvl="6" w:tplc="42FE99D8">
      <w:numFmt w:val="decimal"/>
      <w:lvlText w:val=""/>
      <w:lvlJc w:val="left"/>
    </w:lvl>
    <w:lvl w:ilvl="7" w:tplc="89AADCA2">
      <w:numFmt w:val="decimal"/>
      <w:lvlText w:val=""/>
      <w:lvlJc w:val="left"/>
    </w:lvl>
    <w:lvl w:ilvl="8" w:tplc="C2049378">
      <w:numFmt w:val="decimal"/>
      <w:lvlText w:val=""/>
      <w:lvlJc w:val="left"/>
    </w:lvl>
  </w:abstractNum>
  <w:abstractNum w:abstractNumId="1" w15:restartNumberingAfterBreak="0">
    <w:nsid w:val="7E21049F"/>
    <w:multiLevelType w:val="hybridMultilevel"/>
    <w:tmpl w:val="77AEEFDC"/>
    <w:lvl w:ilvl="0" w:tplc="61628406">
      <w:start w:val="1"/>
      <w:numFmt w:val="bullet"/>
      <w:lvlText w:val="●"/>
      <w:lvlJc w:val="left"/>
      <w:pPr>
        <w:ind w:left="720" w:hanging="360"/>
      </w:pPr>
    </w:lvl>
    <w:lvl w:ilvl="1" w:tplc="5CD000E0">
      <w:start w:val="1"/>
      <w:numFmt w:val="bullet"/>
      <w:lvlText w:val="○"/>
      <w:lvlJc w:val="left"/>
      <w:pPr>
        <w:ind w:left="1440" w:hanging="360"/>
      </w:pPr>
    </w:lvl>
    <w:lvl w:ilvl="2" w:tplc="FFE81F58">
      <w:start w:val="1"/>
      <w:numFmt w:val="bullet"/>
      <w:lvlText w:val="■"/>
      <w:lvlJc w:val="left"/>
      <w:pPr>
        <w:ind w:left="2160" w:hanging="360"/>
      </w:pPr>
    </w:lvl>
    <w:lvl w:ilvl="3" w:tplc="DEC6FC7A">
      <w:start w:val="1"/>
      <w:numFmt w:val="bullet"/>
      <w:lvlText w:val="●"/>
      <w:lvlJc w:val="left"/>
      <w:pPr>
        <w:ind w:left="2880" w:hanging="360"/>
      </w:pPr>
    </w:lvl>
    <w:lvl w:ilvl="4" w:tplc="90C8F238">
      <w:start w:val="1"/>
      <w:numFmt w:val="bullet"/>
      <w:lvlText w:val="○"/>
      <w:lvlJc w:val="left"/>
      <w:pPr>
        <w:ind w:left="3600" w:hanging="360"/>
      </w:pPr>
    </w:lvl>
    <w:lvl w:ilvl="5" w:tplc="EBE08A4E">
      <w:start w:val="1"/>
      <w:numFmt w:val="bullet"/>
      <w:lvlText w:val="■"/>
      <w:lvlJc w:val="left"/>
      <w:pPr>
        <w:ind w:left="4320" w:hanging="360"/>
      </w:pPr>
    </w:lvl>
    <w:lvl w:ilvl="6" w:tplc="5846FC00">
      <w:start w:val="1"/>
      <w:numFmt w:val="bullet"/>
      <w:lvlText w:val="●"/>
      <w:lvlJc w:val="left"/>
      <w:pPr>
        <w:ind w:left="5040" w:hanging="360"/>
      </w:pPr>
    </w:lvl>
    <w:lvl w:ilvl="7" w:tplc="2A2AF4D8">
      <w:start w:val="1"/>
      <w:numFmt w:val="bullet"/>
      <w:lvlText w:val="●"/>
      <w:lvlJc w:val="left"/>
      <w:pPr>
        <w:ind w:left="5760" w:hanging="360"/>
      </w:pPr>
    </w:lvl>
    <w:lvl w:ilvl="8" w:tplc="AB0C87BE">
      <w:start w:val="1"/>
      <w:numFmt w:val="bullet"/>
      <w:lvlText w:val="●"/>
      <w:lvlJc w:val="left"/>
      <w:pPr>
        <w:ind w:left="6480" w:hanging="360"/>
      </w:pPr>
    </w:lvl>
  </w:abstractNum>
  <w:num w:numId="1" w16cid:durableId="170800833">
    <w:abstractNumId w:val="1"/>
    <w:lvlOverride w:ilvl="0">
      <w:startOverride w:val="1"/>
    </w:lvlOverride>
  </w:num>
  <w:num w:numId="2" w16cid:durableId="77302003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7404"/>
    <w:rsid w:val="00727404"/>
    <w:rsid w:val="007E09DC"/>
    <w:rsid w:val="00C0470A"/>
    <w:rsid w:val="00F91E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284F9"/>
  <w15:docId w15:val="{3E10C95C-C91F-4E8D-A8B1-B76D7CD5C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23282D"/>
        <w:sz w:val="21"/>
        <w:szCs w:val="21"/>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1632</Words>
  <Characters>9306</Characters>
  <Application>Microsoft Office Word</Application>
  <DocSecurity>0</DocSecurity>
  <Lines>77</Lines>
  <Paragraphs>21</Paragraphs>
  <ScaleCrop>false</ScaleCrop>
  <Company/>
  <LinksUpToDate>false</LinksUpToDate>
  <CharactersWithSpaces>10917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3</cp:revision>
  <dcterms:created xsi:type="dcterms:W3CDTF">2026-06-11T17:48:00Z</dcterms:created>
  <dcterms:modified xsi:type="dcterms:W3CDTF">2026-06-12T00:36:00Z</dcterms:modified>
</cp:coreProperties>
</file>