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245"/>
      </w:tblGrid>
      <w:tr w:rsidR="009F1415" w14:paraId="63AC6169" w14:textId="77777777">
        <w:trPr>
          <w:jc w:val="center"/>
        </w:trPr>
        <w:tc>
          <w:tcPr>
            <w:tcW w:w="9360" w:type="dxa"/>
            <w:shd w:val="clear" w:color="auto" w:fill="E0651F"/>
          </w:tcPr>
          <w:p w14:paraId="503BA5F4" w14:textId="77777777" w:rsidR="009F1415" w:rsidRDefault="00000000">
            <w:pPr>
              <w:spacing w:before="200" w:after="80"/>
              <w:jc w:val="center"/>
            </w:pPr>
            <w:r>
              <w:rPr>
                <w:rFonts w:ascii="Calibri" w:eastAsia="Calibri" w:hAnsi="Calibri" w:cs="Calibri"/>
                <w:b/>
                <w:color w:val="FFFFFF"/>
              </w:rPr>
              <w:t>BRADFORD VTS TEACHING AIDS</w:t>
            </w:r>
          </w:p>
          <w:p w14:paraId="1B5A7170" w14:textId="77777777" w:rsidR="009F1415" w:rsidRDefault="00000000">
            <w:pPr>
              <w:spacing w:before="80" w:after="80"/>
              <w:jc w:val="center"/>
            </w:pPr>
            <w:r>
              <w:rPr>
                <w:rFonts w:ascii="Calibri" w:eastAsia="Calibri" w:hAnsi="Calibri" w:cs="Calibri"/>
                <w:b/>
                <w:color w:val="FFFFFF"/>
                <w:sz w:val="56"/>
              </w:rPr>
              <w:t>Contraception Tutorial Plan &amp; Cases</w:t>
            </w:r>
          </w:p>
          <w:p w14:paraId="77BE8976" w14:textId="77777777" w:rsidR="009F1415" w:rsidRDefault="00000000">
            <w:pPr>
              <w:spacing w:before="80"/>
              <w:jc w:val="center"/>
            </w:pPr>
            <w:r>
              <w:rPr>
                <w:rFonts w:ascii="Calibri" w:eastAsia="Calibri" w:hAnsi="Calibri" w:cs="Calibri"/>
                <w:i/>
                <w:color w:val="FFFFFF"/>
              </w:rPr>
              <w:t>GP Registrar Tutorial Resource · Bradford VTS · May 2026</w:t>
            </w:r>
          </w:p>
        </w:tc>
      </w:tr>
    </w:tbl>
    <w:p w14:paraId="6721E890" w14:textId="77777777" w:rsidR="009F1415" w:rsidRDefault="009F1415"/>
    <w:p w14:paraId="1AE3B9FA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36"/>
        </w:rPr>
        <w:t>About This Tutorial Resource</w:t>
      </w:r>
    </w:p>
    <w:p w14:paraId="2D62613F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This tutorial plan provides a structured session for GP registrars on contraception in primary care. It includes learning objectives, a suggested tutorial running order, clinical cases with discussion points, and a self-assessment quiz. All clinical content has been updated to reflect UKMEC 2025, FSRH CHC Guideline January 2026, and NICE CKS Contraception (reviewed 2024).</w:t>
      </w:r>
    </w:p>
    <w:p w14:paraId="323974EB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36"/>
        </w:rPr>
        <w:t>Learning Objectives</w:t>
      </w:r>
    </w:p>
    <w:p w14:paraId="61473CB4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By the end of this tutorial, registrars will be able to:</w:t>
      </w:r>
    </w:p>
    <w:p w14:paraId="04F09D5C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Describe all available contraceptive methods and their typical/perfect use failure rates</w:t>
      </w:r>
    </w:p>
    <w:p w14:paraId="1DD18F5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Apply UKMEC 2025 criteria to safely prescribe contraception for women with medical conditions</w:t>
      </w:r>
    </w:p>
    <w:p w14:paraId="0B74C9E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Give accurate missed pill, drug interaction and quick-start advice per FSRH 2026</w:t>
      </w:r>
    </w:p>
    <w:p w14:paraId="1A739AB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Counsel women about LARC methods including implant, IUS (Mirena 8-year license), and copper IUD</w:t>
      </w:r>
    </w:p>
    <w:p w14:paraId="600202A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Manage emergency contraception including the copper IUD ovulation window</w:t>
      </w:r>
    </w:p>
    <w:p w14:paraId="482C29F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Discuss contraception in special circumstances: postpartum, breastfeeding, perimenopausal</w:t>
      </w:r>
    </w:p>
    <w:p w14:paraId="6152C12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Identify AKT and SCA exam hot topics in contraception</w:t>
      </w:r>
    </w:p>
    <w:p w14:paraId="3EC88F2B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36"/>
        </w:rPr>
        <w:t>Suggested Tutorial Running Order (60-90 minutes)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10"/>
        <w:gridCol w:w="3010"/>
        <w:gridCol w:w="3010"/>
      </w:tblGrid>
      <w:tr w:rsidR="009F1415" w14:paraId="2F8256F3" w14:textId="77777777">
        <w:trPr>
          <w:jc w:val="center"/>
        </w:trPr>
        <w:tc>
          <w:tcPr>
            <w:tcW w:w="3010" w:type="dxa"/>
            <w:shd w:val="clear" w:color="auto" w:fill="005A9E"/>
          </w:tcPr>
          <w:p w14:paraId="2F293F96" w14:textId="77777777" w:rsidR="009F1415" w:rsidRDefault="00000000">
            <w:r>
              <w:rPr>
                <w:rFonts w:ascii="Calibri" w:eastAsia="Calibri" w:hAnsi="Calibri" w:cs="Calibri"/>
                <w:b/>
                <w:color w:val="FFFFFF"/>
                <w:sz w:val="21"/>
              </w:rPr>
              <w:t>Time</w:t>
            </w:r>
          </w:p>
        </w:tc>
        <w:tc>
          <w:tcPr>
            <w:tcW w:w="3010" w:type="dxa"/>
            <w:shd w:val="clear" w:color="auto" w:fill="005A9E"/>
          </w:tcPr>
          <w:p w14:paraId="5C792499" w14:textId="77777777" w:rsidR="009F1415" w:rsidRDefault="00000000">
            <w:r>
              <w:rPr>
                <w:rFonts w:ascii="Calibri" w:eastAsia="Calibri" w:hAnsi="Calibri" w:cs="Calibri"/>
                <w:b/>
                <w:color w:val="FFFFFF"/>
                <w:sz w:val="21"/>
              </w:rPr>
              <w:t>Activity</w:t>
            </w:r>
          </w:p>
        </w:tc>
        <w:tc>
          <w:tcPr>
            <w:tcW w:w="3010" w:type="dxa"/>
            <w:shd w:val="clear" w:color="auto" w:fill="005A9E"/>
          </w:tcPr>
          <w:p w14:paraId="2E7DE9E2" w14:textId="77777777" w:rsidR="009F1415" w:rsidRDefault="00000000">
            <w:r>
              <w:rPr>
                <w:rFonts w:ascii="Calibri" w:eastAsia="Calibri" w:hAnsi="Calibri" w:cs="Calibri"/>
                <w:b/>
                <w:color w:val="FFFFFF"/>
                <w:sz w:val="21"/>
              </w:rPr>
              <w:t>Notes</w:t>
            </w:r>
          </w:p>
        </w:tc>
      </w:tr>
      <w:tr w:rsidR="009F1415" w14:paraId="7983D8EE" w14:textId="77777777">
        <w:trPr>
          <w:jc w:val="center"/>
        </w:trPr>
        <w:tc>
          <w:tcPr>
            <w:tcW w:w="3010" w:type="dxa"/>
          </w:tcPr>
          <w:p w14:paraId="364E6592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0-5 min</w:t>
            </w:r>
          </w:p>
        </w:tc>
        <w:tc>
          <w:tcPr>
            <w:tcW w:w="3010" w:type="dxa"/>
          </w:tcPr>
          <w:p w14:paraId="789B5BD7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Introduction and learning objectives</w:t>
            </w:r>
          </w:p>
        </w:tc>
        <w:tc>
          <w:tcPr>
            <w:tcW w:w="3010" w:type="dxa"/>
          </w:tcPr>
          <w:p w14:paraId="7B1F4415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Brief overview; ask registrars what they already know</w:t>
            </w:r>
          </w:p>
        </w:tc>
      </w:tr>
      <w:tr w:rsidR="009F1415" w14:paraId="20C67A43" w14:textId="77777777">
        <w:trPr>
          <w:jc w:val="center"/>
        </w:trPr>
        <w:tc>
          <w:tcPr>
            <w:tcW w:w="3010" w:type="dxa"/>
          </w:tcPr>
          <w:p w14:paraId="522613AD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5-20 min</w:t>
            </w:r>
          </w:p>
        </w:tc>
        <w:tc>
          <w:tcPr>
            <w:tcW w:w="3010" w:type="dxa"/>
          </w:tcPr>
          <w:p w14:paraId="19CDBF5F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Overview of contraceptive efficacy and UKMEC 2025 framework</w:t>
            </w:r>
          </w:p>
        </w:tc>
        <w:tc>
          <w:tcPr>
            <w:tcW w:w="3010" w:type="dxa"/>
          </w:tcPr>
          <w:p w14:paraId="05336C18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Use Pearl Index table; introduce UKMEC categories 1-4</w:t>
            </w:r>
          </w:p>
        </w:tc>
      </w:tr>
      <w:tr w:rsidR="009F1415" w14:paraId="419C02C1" w14:textId="77777777">
        <w:trPr>
          <w:jc w:val="center"/>
        </w:trPr>
        <w:tc>
          <w:tcPr>
            <w:tcW w:w="3010" w:type="dxa"/>
          </w:tcPr>
          <w:p w14:paraId="794D0FE3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20-35 min</w:t>
            </w:r>
          </w:p>
        </w:tc>
        <w:tc>
          <w:tcPr>
            <w:tcW w:w="3010" w:type="dxa"/>
          </w:tcPr>
          <w:p w14:paraId="1C677679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Cases 1-3 (see below)</w:t>
            </w:r>
          </w:p>
        </w:tc>
        <w:tc>
          <w:tcPr>
            <w:tcW w:w="3010" w:type="dxa"/>
          </w:tcPr>
          <w:p w14:paraId="4838AEF0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Small group discussion; encourage problem-solving</w:t>
            </w:r>
          </w:p>
        </w:tc>
      </w:tr>
      <w:tr w:rsidR="009F1415" w:rsidRPr="00782AC4" w14:paraId="0A19E862" w14:textId="77777777">
        <w:trPr>
          <w:jc w:val="center"/>
        </w:trPr>
        <w:tc>
          <w:tcPr>
            <w:tcW w:w="3010" w:type="dxa"/>
          </w:tcPr>
          <w:p w14:paraId="19229097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35-50 min</w:t>
            </w:r>
          </w:p>
        </w:tc>
        <w:tc>
          <w:tcPr>
            <w:tcW w:w="3010" w:type="dxa"/>
          </w:tcPr>
          <w:p w14:paraId="5E11A89A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Cases 4-6 and emergency contraception</w:t>
            </w:r>
          </w:p>
        </w:tc>
        <w:tc>
          <w:tcPr>
            <w:tcW w:w="3010" w:type="dxa"/>
          </w:tcPr>
          <w:p w14:paraId="667DFB2D" w14:textId="77777777" w:rsidR="009F1415" w:rsidRPr="00782AC4" w:rsidRDefault="00000000">
            <w:pPr>
              <w:rPr>
                <w:lang w:val="fr-FR"/>
              </w:rPr>
            </w:pPr>
            <w:r w:rsidRPr="00782AC4">
              <w:rPr>
                <w:rFonts w:ascii="Calibri" w:eastAsia="Calibri" w:hAnsi="Calibri" w:cs="Calibri"/>
                <w:sz w:val="20"/>
                <w:lang w:val="fr-FR"/>
              </w:rPr>
              <w:t>Focus on ellaOne vs Levonelle vs copper IUD</w:t>
            </w:r>
          </w:p>
        </w:tc>
      </w:tr>
      <w:tr w:rsidR="009F1415" w14:paraId="34D8ED5A" w14:textId="77777777">
        <w:trPr>
          <w:jc w:val="center"/>
        </w:trPr>
        <w:tc>
          <w:tcPr>
            <w:tcW w:w="3010" w:type="dxa"/>
          </w:tcPr>
          <w:p w14:paraId="1EF4B4D2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50-65 min</w:t>
            </w:r>
          </w:p>
        </w:tc>
        <w:tc>
          <w:tcPr>
            <w:tcW w:w="3010" w:type="dxa"/>
          </w:tcPr>
          <w:p w14:paraId="2CC99F20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LARC methods: implant, IUS, copper IUD</w:t>
            </w:r>
          </w:p>
        </w:tc>
        <w:tc>
          <w:tcPr>
            <w:tcW w:w="3010" w:type="dxa"/>
          </w:tcPr>
          <w:p w14:paraId="4DEA695D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Clinical updates: Mirena 8 years, FSRH antibiotics</w:t>
            </w:r>
          </w:p>
        </w:tc>
      </w:tr>
      <w:tr w:rsidR="009F1415" w14:paraId="40C33D84" w14:textId="77777777">
        <w:trPr>
          <w:jc w:val="center"/>
        </w:trPr>
        <w:tc>
          <w:tcPr>
            <w:tcW w:w="3010" w:type="dxa"/>
          </w:tcPr>
          <w:p w14:paraId="01166400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65-80 min</w:t>
            </w:r>
          </w:p>
        </w:tc>
        <w:tc>
          <w:tcPr>
            <w:tcW w:w="3010" w:type="dxa"/>
          </w:tcPr>
          <w:p w14:paraId="5307005B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Cases 7-8: special circumstances</w:t>
            </w:r>
          </w:p>
        </w:tc>
        <w:tc>
          <w:tcPr>
            <w:tcW w:w="3010" w:type="dxa"/>
          </w:tcPr>
          <w:p w14:paraId="4EA59147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Postpartum, breastfeeding, perimenopausal</w:t>
            </w:r>
          </w:p>
        </w:tc>
      </w:tr>
      <w:tr w:rsidR="009F1415" w14:paraId="61654BF1" w14:textId="77777777">
        <w:trPr>
          <w:jc w:val="center"/>
        </w:trPr>
        <w:tc>
          <w:tcPr>
            <w:tcW w:w="3010" w:type="dxa"/>
          </w:tcPr>
          <w:p w14:paraId="1D1BB9F0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80-90 min</w:t>
            </w:r>
          </w:p>
        </w:tc>
        <w:tc>
          <w:tcPr>
            <w:tcW w:w="3010" w:type="dxa"/>
          </w:tcPr>
          <w:p w14:paraId="4BB8DC84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Summary, AKT pearls, Q&amp;A</w:t>
            </w:r>
          </w:p>
        </w:tc>
        <w:tc>
          <w:tcPr>
            <w:tcW w:w="3010" w:type="dxa"/>
          </w:tcPr>
          <w:p w14:paraId="0DF093DD" w14:textId="77777777" w:rsidR="009F1415" w:rsidRDefault="00000000">
            <w:r>
              <w:rPr>
                <w:rFonts w:ascii="Calibri" w:eastAsia="Calibri" w:hAnsi="Calibri" w:cs="Calibri"/>
                <w:sz w:val="20"/>
              </w:rPr>
              <w:t>Quick recall; highlight exam hot topics</w:t>
            </w:r>
          </w:p>
        </w:tc>
      </w:tr>
    </w:tbl>
    <w:p w14:paraId="061F4168" w14:textId="77777777" w:rsidR="009F1415" w:rsidRDefault="009F1415"/>
    <w:p w14:paraId="62956589" w14:textId="77777777" w:rsidR="00782AC4" w:rsidRDefault="00782AC4">
      <w:pPr>
        <w:rPr>
          <w:rFonts w:ascii="Calibri" w:eastAsia="Calibri" w:hAnsi="Calibri" w:cs="Calibri"/>
          <w:b/>
          <w:color w:val="00467F"/>
          <w:sz w:val="36"/>
        </w:rPr>
      </w:pPr>
      <w:r>
        <w:rPr>
          <w:rFonts w:ascii="Calibri" w:eastAsia="Calibri" w:hAnsi="Calibri" w:cs="Calibri"/>
          <w:b/>
          <w:color w:val="00467F"/>
          <w:sz w:val="36"/>
        </w:rPr>
        <w:br w:type="page"/>
      </w:r>
    </w:p>
    <w:p w14:paraId="781CF8FC" w14:textId="008DFFA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36"/>
        </w:rPr>
        <w:lastRenderedPageBreak/>
        <w:t>Clinical Cases with Discussion Points</w:t>
      </w:r>
    </w:p>
    <w:p w14:paraId="0A88E352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1: Nicola, 35 years old, P4+2, recent TOP</w:t>
      </w:r>
    </w:p>
    <w:p w14:paraId="4085795C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5B8D9D94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Nicola is a 35-year-old woman who has just had a termination of pregnancy. She has had 4 previous pregnancies and 2 miscarriages. Her BMI is 35. She takes Metformin for type 2 diabetes (no complications). She has heavy but regular periods. BP is 125/80. Non-smoker.</w:t>
      </w:r>
    </w:p>
    <w:p w14:paraId="62E32AD4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3FEEEEB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are the key issues to consider in choosing her contraception?</w:t>
      </w:r>
    </w:p>
    <w:p w14:paraId="4C48CB4E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Which combined hormonal contraceptive options are available, and what are the UKMEC 2025 categories?</w:t>
      </w:r>
    </w:p>
    <w:p w14:paraId="1FAC4D99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would be your first choice and why?</w:t>
      </w:r>
    </w:p>
    <w:p w14:paraId="3029AD6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When can she start her chosen contraception after the TOP?</w:t>
      </w:r>
    </w:p>
    <w:p w14:paraId="49EDA1C1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3C634D71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UKMEC 2025: BMI ≥35 = UKMEC 3 for CHC (risks outweigh benefits); diabetes without vascular disease = UKMEC 2</w:t>
      </w:r>
    </w:p>
    <w:p w14:paraId="489ECA3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Combined risk factors (obesity + diabetes) push towards UKMEC 3/4 for CHC</w:t>
      </w:r>
    </w:p>
    <w:p w14:paraId="0EC02B26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Best options: IUS (Mirena) for HMB + contraception; copper IUD; implant; POP</w:t>
      </w:r>
    </w:p>
    <w:p w14:paraId="7D4406C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Mirena: can insert immediately post-TOP (UKMEC 1 first trimester); also treats HMB</w:t>
      </w:r>
    </w:p>
    <w:p w14:paraId="35C3EB9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CHC is generally not recommended with BMI ≥35 + diabetes combination</w:t>
      </w:r>
    </w:p>
    <w:p w14:paraId="3830B7DF" w14:textId="77777777" w:rsidR="009F1415" w:rsidRDefault="009F1415"/>
    <w:p w14:paraId="400AC792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2: Janet, 36 years old, smoker</w:t>
      </w:r>
    </w:p>
    <w:p w14:paraId="7896F28B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51E3BBC7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Janet is 36 years old and smokes 20 cigarettes per day. BMI is 35. She attends requesting a COC. She returns 6 months later having stopped smoking.</w:t>
      </w:r>
    </w:p>
    <w:p w14:paraId="28A78FBF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3F424CAE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Will you issue a COC initially? What are the UKMEC 2025 categories?</w:t>
      </w:r>
    </w:p>
    <w:p w14:paraId="6D84953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She returns 6 months after stopping smoking — will you issue a COC now?</w:t>
      </w:r>
    </w:p>
    <w:p w14:paraId="125C3472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other contraceptive options would you discuss?</w:t>
      </w:r>
    </w:p>
    <w:p w14:paraId="7654C35E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2CD7D1B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Smoking ≥15 cigarettes/day aged ≥35 = UKMEC 4 for CHC — absolute contraindication</w:t>
      </w:r>
    </w:p>
    <w:p w14:paraId="6E94B73C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BMI ≥35 = UKMEC 3 for CHC — additional concern</w:t>
      </w:r>
    </w:p>
    <w:p w14:paraId="5A4678A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After stopping smoking: UKMEC 3 if &lt;1 year stopped; UKMEC 2 if ≥1 year stopped</w:t>
      </w:r>
    </w:p>
    <w:p w14:paraId="5C8E677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At 6 months stopped: still UKMEC 3 — CHC not usually recommended</w:t>
      </w:r>
    </w:p>
    <w:p w14:paraId="5E243C29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Best options: implant, IUS, copper IUD, POP (all UKMEC 1 regardless of smoking and BMI)</w:t>
      </w:r>
    </w:p>
    <w:p w14:paraId="2F24DB5E" w14:textId="77777777" w:rsidR="009F1415" w:rsidRDefault="009F1415"/>
    <w:p w14:paraId="34008342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3: Linda, 35 years old, BP 140/90</w:t>
      </w:r>
    </w:p>
    <w:p w14:paraId="12B85A37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45699E49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Linda is 35 years old, mother of 3. Her BP reading is 140/90. She is not on any antihypertensive. She attends requesting a COC. Her mother had a DVT.</w:t>
      </w:r>
    </w:p>
    <w:p w14:paraId="7FEA3A18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57C3BA4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are the issues here?</w:t>
      </w:r>
    </w:p>
    <w:p w14:paraId="0ACE36E6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is the UKMEC 2025 category for BP 140-159/90-94 and CHC?</w:t>
      </w:r>
    </w:p>
    <w:p w14:paraId="241CC7C2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about the family history of VTE?</w:t>
      </w:r>
    </w:p>
    <w:p w14:paraId="7F282BC6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would you offer?</w:t>
      </w:r>
    </w:p>
    <w:p w14:paraId="43244404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6152154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BP 140-159 systolic or 90-94 diastolic = UKMEC 3 for CHC — risks usually outweigh benefits</w:t>
      </w:r>
    </w:p>
    <w:p w14:paraId="250858F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Family history of VTE (first-degree relative aged ≥45): UKMEC 2 for CHC; if &lt;45 years: UKMEC 3</w:t>
      </w:r>
    </w:p>
    <w:p w14:paraId="4C49800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Combination of UKMEC 3 conditions = treat as UKMEC 4 effectively</w:t>
      </w:r>
    </w:p>
    <w:p w14:paraId="3AC0676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Best options: POP, implant, IUS — check BP first and treat if possible before reassessing CHC</w:t>
      </w:r>
    </w:p>
    <w:p w14:paraId="024BA76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Refer if BP consistently ≥160/95 (UKMEC 4 for CHC)</w:t>
      </w:r>
    </w:p>
    <w:p w14:paraId="2B60AFE5" w14:textId="77777777" w:rsidR="009F1415" w:rsidRDefault="009F1415"/>
    <w:p w14:paraId="3748A981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4: Liz, 19 years old, epilepsy on Valproate, switching to Lamotrigine</w:t>
      </w:r>
    </w:p>
    <w:p w14:paraId="799B8503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5E4ACB69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Liz is 19. She has epilepsy, currently on valproate. The neurologist has written requesting a switch to lamotrigine as her seizures are not controlled. She wants to start Microgynon. She also has depression.</w:t>
      </w:r>
    </w:p>
    <w:p w14:paraId="766A56C7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6890161D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Is Microgynon safe for Liz given her current anticonvulsants?</w:t>
      </w:r>
    </w:p>
    <w:p w14:paraId="7AAD4041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changes when she switches to lamotrigine?</w:t>
      </w:r>
    </w:p>
    <w:p w14:paraId="63870921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UKMEC categories apply?</w:t>
      </w:r>
    </w:p>
    <w:p w14:paraId="4E76193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contraception would you recommend?</w:t>
      </w:r>
    </w:p>
    <w:p w14:paraId="23B25834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0BEE9B16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Valproate: does NOT induce liver enzymes — UKMEC 1 for CHC (epilepsy itself is UKMEC 1)</w:t>
      </w:r>
    </w:p>
    <w:p w14:paraId="5BC04673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Lamotrigine: UKMEC 3 for CHC — CHC reduces lamotrigine levels (increased seizure risk)</w:t>
      </w:r>
    </w:p>
    <w:p w14:paraId="7A5B911A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Switching to lamotrigine makes CHC less safe — UKMEC 3</w:t>
      </w:r>
    </w:p>
    <w:p w14:paraId="25DA7ECB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Depression = UKMEC 1 for all methods</w:t>
      </w:r>
    </w:p>
    <w:p w14:paraId="4A3EFE66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Best options while on lamotrigine: POP (Cerazette), implant, IUD/IUS, injectable (DMPA — UKMEC 1, not affected)</w:t>
      </w:r>
    </w:p>
    <w:p w14:paraId="6DB261EC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If Liz insists on CHC: UKMEC 3 — discuss with specialist; monitor lamotrigine levels</w:t>
      </w:r>
    </w:p>
    <w:p w14:paraId="6F6396E3" w14:textId="77777777" w:rsidR="009F1415" w:rsidRDefault="009F1415"/>
    <w:p w14:paraId="5AA081EB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5: Maria, 21, Spanish student — Evra patches, migraine with aura</w:t>
      </w:r>
    </w:p>
    <w:p w14:paraId="5AA4ED29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042B211B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Maria has been using Evra patches for 2 years. She now tells you she gets severe headaches with flashing lights in her left eye and numbness in her left arm before the headaches start. She takes Atenolol and a 5HT agonist (triptan) for her headaches. She is a non-smoker with normal BMI and BP.</w:t>
      </w:r>
    </w:p>
    <w:p w14:paraId="05A1A8CF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25D5AFD1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type of headaches does she have?</w:t>
      </w:r>
    </w:p>
    <w:p w14:paraId="11C6BB9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Can she continue the Evra patches?</w:t>
      </w:r>
    </w:p>
    <w:p w14:paraId="10187C4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is the UKMEC 2025 classification?</w:t>
      </w:r>
    </w:p>
    <w:p w14:paraId="1665A95C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are the alternatives?</w:t>
      </w:r>
    </w:p>
    <w:p w14:paraId="551EECE9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1E73933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Visual aura (flashing lights) + sensory aura (numbness) = migraine WITH aura — UKMEC 4 for ALL CHC</w:t>
      </w:r>
    </w:p>
    <w:p w14:paraId="52E38663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STOP Evra patches immediately — this is a UKMEC 4 (absolute contraindication for CHC)</w:t>
      </w:r>
    </w:p>
    <w:p w14:paraId="7DA762E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Increased stroke risk with CHC + migraine with aura — potentially life-threatening</w:t>
      </w:r>
    </w:p>
    <w:p w14:paraId="1989F0B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Alternatives (all UKMEC 2 for migraine with aura): POP (Cerazette), implant, copper IUD, IUS (Mirena)</w:t>
      </w:r>
    </w:p>
    <w:p w14:paraId="5BE46A5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Triptans (5HT agonists): not a contraindication to POP or LARC</w:t>
      </w:r>
    </w:p>
    <w:p w14:paraId="64D00E27" w14:textId="77777777" w:rsidR="009F1415" w:rsidRDefault="009F1415"/>
    <w:p w14:paraId="1CBBCEC1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6: A 16-year-old girl, on tetracycline for acne, UPSI on day 12</w:t>
      </w:r>
    </w:p>
    <w:p w14:paraId="6BF77AC2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102D4A9B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A 16-year-old attends having had unprotected sex the previous night. She is on day 12 of her cycle and takes long-term tetracycline for acne. She is not on regular contraception.</w:t>
      </w:r>
    </w:p>
    <w:p w14:paraId="3493E5F7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28E9FD6A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are your concerns about the long-term tetracycline?</w:t>
      </w:r>
    </w:p>
    <w:p w14:paraId="33AB865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emergency contraception would you offer, and when?</w:t>
      </w:r>
    </w:p>
    <w:p w14:paraId="564D0E8B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safeguarding considerations are there?</w:t>
      </w:r>
    </w:p>
    <w:p w14:paraId="6533D604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10A64A6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FSRH 2026 KEY UPDATE: Broad-spectrum antibiotics including tetracycline do NOT reduce CHC efficacy — no extra precautions needed if she were on the pill</w:t>
      </w:r>
    </w:p>
    <w:p w14:paraId="5680D09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For emergency contraception: day 12 of cycle — she may be in her fertile window (ovulation ~day 14)</w:t>
      </w:r>
    </w:p>
    <w:p w14:paraId="26CF3122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lastRenderedPageBreak/>
        <w:t>Offer copper IUD (most effective EC, up to 5 days post-UPSI), or ellaOne 30mg (up to 120h), or Levonelle (up to 72h)</w:t>
      </w:r>
    </w:p>
    <w:p w14:paraId="759CBDFD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Safeguarding: she is under 16 — assess Gillick/Fraser competence; document carefully</w:t>
      </w:r>
    </w:p>
    <w:p w14:paraId="19318E8B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Consider STI screen; discuss ongoing contraception; safeguarding assessment if any concern about abuse</w:t>
      </w:r>
    </w:p>
    <w:p w14:paraId="1D363940" w14:textId="77777777" w:rsidR="009F1415" w:rsidRDefault="009F1415"/>
    <w:p w14:paraId="443EFC0E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7: Nicola, 25, 4 weeks postpartum, breastfeeding, wants COC</w:t>
      </w:r>
    </w:p>
    <w:p w14:paraId="3F587A94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40636345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Nicola is 25. She had a normal delivery 4 weeks ago. BMI is normal, non-smoker. She is breastfeeding and requests a combined oral contraceptive pill.</w:t>
      </w:r>
    </w:p>
    <w:p w14:paraId="3FE4304C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301DB27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Is this the right time to start a COC?</w:t>
      </w:r>
    </w:p>
    <w:p w14:paraId="7E547DC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does UKMEC 2025 say?</w:t>
      </w:r>
    </w:p>
    <w:p w14:paraId="0A6A59D8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safer alternatives can you offer?</w:t>
      </w:r>
    </w:p>
    <w:p w14:paraId="2D05746F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45508C4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CHC at 4 weeks postpartum + breastfeeding = UKMEC 3 (6 weeks–6 months breastfeeding)</w:t>
      </w:r>
    </w:p>
    <w:p w14:paraId="3E237F3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CHC &lt;6 weeks postpartum + breastfeeding = UKMEC 4 — absolutely contraindicated</w:t>
      </w:r>
    </w:p>
    <w:p w14:paraId="72D3B2D2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CHC can suppress milk production — important for breastfeeding mothers</w:t>
      </w:r>
    </w:p>
    <w:p w14:paraId="3E8026B0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Safe options at 4 weeks while breastfeeding: POP (UKMEC 1–2), implant (UKMEC 1), injectable (UKMEC 2), IUD (≥4 weeks = UKMEC 1)</w:t>
      </w:r>
    </w:p>
    <w:p w14:paraId="5559064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Recommend POP (desogestrel/Cerazette) or Nexplanon — both safe in breastfeeding</w:t>
      </w:r>
    </w:p>
    <w:p w14:paraId="5352B18D" w14:textId="77777777" w:rsidR="009F1415" w:rsidRDefault="009F1415"/>
    <w:p w14:paraId="26724D4F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28"/>
        </w:rPr>
        <w:t>Case 8: Mrs G, 49, on POP, amenorrhoeic for 1 year, vasomotor symptoms</w:t>
      </w:r>
    </w:p>
    <w:p w14:paraId="0A0C966F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Scenario</w:t>
      </w:r>
    </w:p>
    <w:p w14:paraId="1FF3E5C9" w14:textId="77777777" w:rsidR="009F1415" w:rsidRDefault="00000000">
      <w:pPr>
        <w:spacing w:after="60"/>
      </w:pPr>
      <w:r>
        <w:rPr>
          <w:rFonts w:ascii="Calibri" w:eastAsia="Calibri" w:hAnsi="Calibri" w:cs="Calibri"/>
        </w:rPr>
        <w:t>Mrs G is 49 and has been taking a POP for 2 years. She has not had a period for 12 months. She is getting hot flushes and night sweats. She is sexually active and wonders when she can stop contraception.</w:t>
      </w:r>
    </w:p>
    <w:p w14:paraId="6AC3121B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505050"/>
          <w:sz w:val="24"/>
        </w:rPr>
        <w:t>Discussion Questions</w:t>
      </w:r>
    </w:p>
    <w:p w14:paraId="589A779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How long should she continue contraception?</w:t>
      </w:r>
    </w:p>
    <w:p w14:paraId="38EAB74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Is she menopausal?</w:t>
      </w:r>
    </w:p>
    <w:p w14:paraId="1F859C9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How do you confirm menopause in a woman on hormonal contraception?</w:t>
      </w:r>
    </w:p>
    <w:p w14:paraId="63D64F5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What about her vasomotor symptoms?</w:t>
      </w:r>
    </w:p>
    <w:p w14:paraId="2FAE6C56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783C"/>
          <w:sz w:val="24"/>
        </w:rPr>
        <w:t>Discussion Points (Tutor Notes)</w:t>
      </w:r>
    </w:p>
    <w:p w14:paraId="517EEDC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POP can mask menstrual periods — amenorrhoea on POP does NOT confirm menopause</w:t>
      </w:r>
    </w:p>
    <w:p w14:paraId="0D745FD5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FSH levels unreliable in women on hormonal contraception (suppressed)</w:t>
      </w:r>
    </w:p>
    <w:p w14:paraId="448D29D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lastRenderedPageBreak/>
        <w:t>Safe approach: continue POP until age 55 (natural loss of fertility assumed at 55)</w:t>
      </w:r>
    </w:p>
    <w:p w14:paraId="768C3264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Alternatively: check FSH on two occasions 1-2 months apart (stop POP for 4 weeks to allow levels to rise) — if both &gt;30 IU/L, menopause confirmed; continue contraception 1 more year (non-hormonal) as she is &lt;50</w:t>
      </w:r>
    </w:p>
    <w:p w14:paraId="7B76131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Vasomotor symptoms: can start HRT alongside POP; POP provides endometrial protection if using oestrogen-only HRT; OR switch to Mirena (IUS provides progestogen for HRT and contraception)</w:t>
      </w:r>
    </w:p>
    <w:p w14:paraId="7BC88292" w14:textId="77777777" w:rsidR="009F1415" w:rsidRDefault="009F1415"/>
    <w:p w14:paraId="5646140C" w14:textId="77777777" w:rsidR="009F1415" w:rsidRDefault="00000000">
      <w:pPr>
        <w:spacing w:before="240" w:after="80"/>
      </w:pPr>
      <w:r>
        <w:rPr>
          <w:rFonts w:ascii="Calibri" w:eastAsia="Calibri" w:hAnsi="Calibri" w:cs="Calibri"/>
          <w:b/>
          <w:color w:val="00467F"/>
          <w:sz w:val="36"/>
        </w:rPr>
        <w:t>Key Clinical Updates for 2025/2026 (Exam Hot Topics)</w:t>
      </w:r>
    </w:p>
    <w:p w14:paraId="597BF7A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UKMEC 2025 (CoSRH, replaces 2016): updated eligibility criteria for all contraceptive methods</w:t>
      </w:r>
    </w:p>
    <w:p w14:paraId="03D9E0ED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FSRH CHC Guideline January 2026: broad-spectrum antibiotics do NOT reduce CHC efficacy (no extra precautions needed)</w:t>
      </w:r>
    </w:p>
    <w:p w14:paraId="58968A3C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Missed pill threshold (FSRH 2026): 30/35mcg pills — ≥24 hours = missed; 20mcg pills — ≥12 hours = missed</w:t>
      </w:r>
    </w:p>
    <w:p w14:paraId="22420B19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Mirena IUS: now licensed for 8 years for contraception (FSRH 2024 update)</w:t>
      </w:r>
    </w:p>
    <w:p w14:paraId="5AB075C1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NICE NG257 Fertility: Letrozole now first-line for ovulation induction in PCOS (replaces clomifene)</w:t>
      </w:r>
    </w:p>
    <w:p w14:paraId="3EA24561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Emergency contraception: copper IUD up to 5 days post-UPSI OR 5 days after ovulation (whichever is later)</w:t>
      </w:r>
    </w:p>
    <w:p w14:paraId="724C7307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UPA (ellaOne): do not give hormonal contraception for 5 days after dose (interaction)</w:t>
      </w:r>
    </w:p>
    <w:p w14:paraId="79E5B6BF" w14:textId="77777777" w:rsidR="009F1415" w:rsidRDefault="00000000">
      <w:pPr>
        <w:pStyle w:val="ListBullet"/>
        <w:spacing w:after="40"/>
        <w:ind w:left="340"/>
      </w:pPr>
      <w:r>
        <w:rPr>
          <w:rFonts w:ascii="Calibri" w:eastAsia="Calibri" w:hAnsi="Calibri" w:cs="Calibri"/>
        </w:rPr>
        <w:t>LNG-EC: less effective if BMI &gt;26 or weight &gt;70kg — prefer UPA or copper IUD</w:t>
      </w:r>
    </w:p>
    <w:p w14:paraId="7CA0AA1B" w14:textId="77777777" w:rsidR="009F1415" w:rsidRDefault="009F1415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29"/>
      </w:tblGrid>
      <w:tr w:rsidR="009F1415" w14:paraId="432A37CE" w14:textId="77777777">
        <w:trPr>
          <w:jc w:val="center"/>
        </w:trPr>
        <w:tc>
          <w:tcPr>
            <w:tcW w:w="9029" w:type="dxa"/>
            <w:shd w:val="clear" w:color="auto" w:fill="FFF3CD"/>
          </w:tcPr>
          <w:p w14:paraId="3AAABD3A" w14:textId="77777777" w:rsidR="009F1415" w:rsidRDefault="00000000">
            <w:pPr>
              <w:spacing w:before="80" w:after="80"/>
            </w:pPr>
            <w:r>
              <w:rPr>
                <w:rFonts w:ascii="Calibri" w:eastAsia="Calibri" w:hAnsi="Calibri" w:cs="Calibri"/>
                <w:sz w:val="21"/>
              </w:rPr>
              <w:t>DISCLAIMER: Always double check this advice and drug doses with the latest NICE/BNF guidance. This document is for educational purposes only.</w:t>
            </w:r>
          </w:p>
        </w:tc>
      </w:tr>
    </w:tbl>
    <w:p w14:paraId="45ABBC97" w14:textId="77777777" w:rsidR="009F1415" w:rsidRDefault="009F1415">
      <w:pPr>
        <w:spacing w:after="80"/>
      </w:pPr>
    </w:p>
    <w:p w14:paraId="686ED621" w14:textId="77777777" w:rsidR="009F1415" w:rsidRDefault="009F1415"/>
    <w:p w14:paraId="7F1991B1" w14:textId="77777777" w:rsidR="009F1415" w:rsidRDefault="00000000">
      <w:pPr>
        <w:spacing w:before="120"/>
      </w:pPr>
      <w:r>
        <w:rPr>
          <w:rFonts w:ascii="Calibri" w:eastAsia="Calibri" w:hAnsi="Calibri" w:cs="Calibri"/>
          <w:i/>
          <w:color w:val="646464"/>
          <w:sz w:val="18"/>
        </w:rPr>
        <w:t>A free resource provided by www.bradfordvts.co.uk, Dr Ramesh Mehay, original date unknown, revised May 2026</w:t>
      </w:r>
    </w:p>
    <w:sectPr w:rsidR="009F1415" w:rsidSect="00034616">
      <w:pgSz w:w="11909" w:h="1683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35705166">
    <w:abstractNumId w:val="8"/>
  </w:num>
  <w:num w:numId="2" w16cid:durableId="2120484298">
    <w:abstractNumId w:val="6"/>
  </w:num>
  <w:num w:numId="3" w16cid:durableId="1577545568">
    <w:abstractNumId w:val="5"/>
  </w:num>
  <w:num w:numId="4" w16cid:durableId="1909224115">
    <w:abstractNumId w:val="4"/>
  </w:num>
  <w:num w:numId="5" w16cid:durableId="110364045">
    <w:abstractNumId w:val="7"/>
  </w:num>
  <w:num w:numId="6" w16cid:durableId="526525279">
    <w:abstractNumId w:val="3"/>
  </w:num>
  <w:num w:numId="7" w16cid:durableId="875847282">
    <w:abstractNumId w:val="2"/>
  </w:num>
  <w:num w:numId="8" w16cid:durableId="1685127378">
    <w:abstractNumId w:val="1"/>
  </w:num>
  <w:num w:numId="9" w16cid:durableId="1952083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82AC4"/>
    <w:rsid w:val="009F141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B0B6EC"/>
  <w14:defaultImageDpi w14:val="300"/>
  <w15:docId w15:val="{B56E36E8-81D9-47EE-A31C-26A6D587A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1588</Words>
  <Characters>9056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2</cp:revision>
  <dcterms:created xsi:type="dcterms:W3CDTF">2013-12-23T23:15:00Z</dcterms:created>
  <dcterms:modified xsi:type="dcterms:W3CDTF">2026-06-11T16:37:00Z</dcterms:modified>
  <cp:category/>
</cp:coreProperties>
</file>