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746"/>
      </w:tblGrid>
      <w:tr w:rsidR="002703C1" w14:paraId="65DBB901" w14:textId="77777777">
        <w:trPr>
          <w:jc w:val="center"/>
        </w:trPr>
        <w:tc>
          <w:tcPr>
            <w:tcW w:w="9746" w:type="dxa"/>
            <w:shd w:val="clear" w:color="auto" w:fill="E0651F"/>
          </w:tcPr>
          <w:p w14:paraId="5BC023FF" w14:textId="77777777" w:rsidR="002703C1" w:rsidRDefault="00000000">
            <w:pPr>
              <w:spacing w:before="200" w:after="40"/>
              <w:jc w:val="center"/>
            </w:pPr>
            <w:r>
              <w:rPr>
                <w:rFonts w:ascii="Calibri" w:hAnsi="Calibri"/>
                <w:b/>
                <w:caps/>
                <w:color w:val="FFFFFF"/>
              </w:rPr>
              <w:t>BRADFORD VTS TEACHING AIDS</w:t>
            </w:r>
          </w:p>
          <w:p w14:paraId="7531C7EC" w14:textId="3C076B8A" w:rsidR="002703C1" w:rsidRDefault="00000000">
            <w:pPr>
              <w:spacing w:before="80" w:after="80"/>
              <w:jc w:val="center"/>
            </w:pPr>
            <w:r>
              <w:rPr>
                <w:rFonts w:ascii="Calibri" w:hAnsi="Calibri"/>
                <w:b/>
                <w:color w:val="FFFFFF"/>
                <w:sz w:val="56"/>
              </w:rPr>
              <w:t>Domestic Abuse</w:t>
            </w:r>
            <w:r w:rsidR="00811640">
              <w:rPr>
                <w:rFonts w:ascii="Calibri" w:hAnsi="Calibri"/>
                <w:b/>
                <w:color w:val="FFFFFF"/>
                <w:sz w:val="56"/>
              </w:rPr>
              <w:t>, DASH</w:t>
            </w:r>
            <w:r>
              <w:rPr>
                <w:rFonts w:ascii="Calibri" w:hAnsi="Calibri"/>
                <w:b/>
                <w:color w:val="FFFFFF"/>
                <w:sz w:val="56"/>
              </w:rPr>
              <w:t xml:space="preserve"> &amp; MARAC</w:t>
            </w:r>
          </w:p>
          <w:p w14:paraId="11CFA438" w14:textId="77777777" w:rsidR="002703C1" w:rsidRDefault="00000000">
            <w:pPr>
              <w:spacing w:before="40"/>
              <w:jc w:val="center"/>
            </w:pPr>
            <w:r>
              <w:rPr>
                <w:rFonts w:ascii="Calibri" w:hAnsi="Calibri"/>
                <w:i/>
                <w:color w:val="FFE5CC"/>
                <w:sz w:val="24"/>
              </w:rPr>
              <w:t>GP Care Pathway and MARAC Reference Guide  ·  Bradford VTS  ·  May 2026</w:t>
            </w:r>
          </w:p>
        </w:tc>
      </w:tr>
    </w:tbl>
    <w:p w14:paraId="39555233" w14:textId="77777777" w:rsidR="002703C1" w:rsidRDefault="00000000">
      <w:pPr>
        <w:jc w:val="center"/>
      </w:pPr>
      <w:r>
        <w:rPr>
          <w:noProof/>
        </w:rPr>
        <w:drawing>
          <wp:inline distT="0" distB="0" distL="0" distR="0" wp14:anchorId="357D7A91" wp14:editId="3AF8E35F">
            <wp:extent cx="6167438" cy="3376106"/>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jpg"/>
                    <pic:cNvPicPr/>
                  </pic:nvPicPr>
                  <pic:blipFill rotWithShape="1">
                    <a:blip r:embed="rId8"/>
                    <a:srcRect l="1" t="41779" r="-65" b="18513"/>
                    <a:stretch>
                      <a:fillRect/>
                    </a:stretch>
                  </pic:blipFill>
                  <pic:spPr bwMode="auto">
                    <a:xfrm>
                      <a:off x="0" y="0"/>
                      <a:ext cx="6198940" cy="3393350"/>
                    </a:xfrm>
                    <a:prstGeom prst="rect">
                      <a:avLst/>
                    </a:prstGeom>
                    <a:ln>
                      <a:noFill/>
                    </a:ln>
                    <a:extLst>
                      <a:ext uri="{53640926-AAD7-44D8-BBD7-CCE9431645EC}">
                        <a14:shadowObscured xmlns:a14="http://schemas.microsoft.com/office/drawing/2010/main"/>
                      </a:ext>
                    </a:extLst>
                  </pic:spPr>
                </pic:pic>
              </a:graphicData>
            </a:graphic>
          </wp:inline>
        </w:drawing>
      </w:r>
    </w:p>
    <w:p w14:paraId="193F4B84" w14:textId="77777777" w:rsidR="002703C1" w:rsidRDefault="00000000">
      <w:pPr>
        <w:jc w:val="center"/>
      </w:pPr>
      <w:r>
        <w:rPr>
          <w:i/>
          <w:color w:val="7F8C8D"/>
          <w:sz w:val="18"/>
        </w:rPr>
        <w:t>Professional support and compassionate care are central to the GP's role in domestic abuse.</w:t>
      </w:r>
    </w:p>
    <w:p w14:paraId="2C40CA64" w14:textId="77777777" w:rsidR="002703C1" w:rsidRDefault="002703C1"/>
    <w:p w14:paraId="4CA12416" w14:textId="77777777" w:rsidR="002703C1" w:rsidRDefault="00000000">
      <w:pPr>
        <w:spacing w:before="240" w:after="120"/>
      </w:pPr>
      <w:r>
        <w:rPr>
          <w:rFonts w:ascii="Calibri" w:hAnsi="Calibri"/>
          <w:b/>
          <w:color w:val="1A3A5C"/>
          <w:sz w:val="32"/>
        </w:rPr>
        <w:t>1. Definition of Domestic Abuse</w:t>
      </w:r>
    </w:p>
    <w:tbl>
      <w:tblPr>
        <w:tblStyle w:val="TableGrid"/>
        <w:tblW w:w="0" w:type="auto"/>
        <w:jc w:val="center"/>
        <w:tblLook w:val="04A0" w:firstRow="1" w:lastRow="0" w:firstColumn="1" w:lastColumn="0" w:noHBand="0" w:noVBand="1"/>
      </w:tblPr>
      <w:tblGrid>
        <w:gridCol w:w="9746"/>
      </w:tblGrid>
      <w:tr w:rsidR="002703C1" w14:paraId="24C1F61A" w14:textId="77777777">
        <w:trPr>
          <w:jc w:val="center"/>
        </w:trPr>
        <w:tc>
          <w:tcPr>
            <w:tcW w:w="9746" w:type="dxa"/>
            <w:shd w:val="clear" w:color="auto" w:fill="FEF9E7"/>
          </w:tcPr>
          <w:p w14:paraId="5CF23DF3" w14:textId="77777777" w:rsidR="002703C1" w:rsidRDefault="00000000">
            <w:pPr>
              <w:spacing w:before="80" w:after="40"/>
            </w:pPr>
            <w:r>
              <w:rPr>
                <w:rFonts w:ascii="Calibri" w:hAnsi="Calibri"/>
                <w:b/>
                <w:color w:val="7D6608"/>
              </w:rPr>
              <w:t>📋 Statutory Definition — Domestic Abuse Act 2021</w:t>
            </w:r>
          </w:p>
          <w:p w14:paraId="543F8AF0" w14:textId="77777777" w:rsidR="002703C1" w:rsidRDefault="00000000">
            <w:pPr>
              <w:spacing w:before="40" w:after="80"/>
            </w:pPr>
            <w:r>
              <w:rPr>
                <w:rFonts w:ascii="Calibri" w:hAnsi="Calibri"/>
                <w:sz w:val="21"/>
              </w:rPr>
              <w:t>The behaviour of a person (A) towards another person (B) is 'domestic abuse' if:</w:t>
            </w:r>
            <w:r>
              <w:rPr>
                <w:rFonts w:ascii="Calibri" w:hAnsi="Calibri"/>
                <w:sz w:val="21"/>
              </w:rPr>
              <w:br/>
              <w:t>• A and B are each aged 16 or over and are personally connected to each other, AND</w:t>
            </w:r>
            <w:r>
              <w:rPr>
                <w:rFonts w:ascii="Calibri" w:hAnsi="Calibri"/>
                <w:sz w:val="21"/>
              </w:rPr>
              <w:br/>
              <w:t>• The behaviour is abusive</w:t>
            </w:r>
            <w:r>
              <w:rPr>
                <w:rFonts w:ascii="Calibri" w:hAnsi="Calibri"/>
                <w:sz w:val="21"/>
              </w:rPr>
              <w:br/>
            </w:r>
            <w:r>
              <w:rPr>
                <w:rFonts w:ascii="Calibri" w:hAnsi="Calibri"/>
                <w:sz w:val="21"/>
              </w:rPr>
              <w:br/>
              <w:t>Abusive behaviour includes: physical or sexual abuse; violent or threatening behaviour; controlling or coercive behaviour; economic abuse; psychological, emotional or other abuse.</w:t>
            </w:r>
            <w:r>
              <w:rPr>
                <w:rFonts w:ascii="Calibri" w:hAnsi="Calibri"/>
                <w:sz w:val="21"/>
              </w:rPr>
              <w:br/>
            </w:r>
            <w:r>
              <w:rPr>
                <w:rFonts w:ascii="Calibri" w:hAnsi="Calibri"/>
                <w:sz w:val="21"/>
              </w:rPr>
              <w:br/>
              <w:t>A SINGLE incident OR a course of conduct is sufficient. Includes honour-based violence (HBV), FGM, and forced marriage. Children aged 16+ can be victims. Children in the household are recognised as victims in their own right (DA Act 2021).</w:t>
            </w:r>
          </w:p>
        </w:tc>
      </w:tr>
    </w:tbl>
    <w:p w14:paraId="400AFFEA" w14:textId="77777777" w:rsidR="002703C1" w:rsidRDefault="002703C1"/>
    <w:p w14:paraId="01087DE4" w14:textId="77777777" w:rsidR="002703C1" w:rsidRDefault="00000000">
      <w:pPr>
        <w:spacing w:before="40" w:after="80"/>
      </w:pPr>
      <w:r>
        <w:rPr>
          <w:rFonts w:ascii="Calibri" w:hAnsi="Calibri"/>
          <w:b/>
          <w:color w:val="C0392B"/>
        </w:rPr>
        <w:t>Key point: Controlling or Coercive Behaviour is a criminal offence under s.76 Serious Crime Act 2015 and is a better predictor of sexual assault and fatal violence than prior physical assault alone.</w:t>
      </w:r>
    </w:p>
    <w:p w14:paraId="3DD24B0D" w14:textId="77777777" w:rsidR="002703C1" w:rsidRDefault="00000000">
      <w:pPr>
        <w:spacing w:before="240" w:after="120"/>
      </w:pPr>
      <w:r>
        <w:rPr>
          <w:rFonts w:ascii="Calibri" w:hAnsi="Calibri"/>
          <w:b/>
          <w:color w:val="1A3A5C"/>
          <w:sz w:val="32"/>
        </w:rPr>
        <w:lastRenderedPageBreak/>
        <w:t>2. Recognising Domestic Abuse in Primary Care (NICE PH50, July 2024)</w:t>
      </w:r>
    </w:p>
    <w:p w14:paraId="4796068B" w14:textId="77777777" w:rsidR="002703C1" w:rsidRDefault="00000000">
      <w:pPr>
        <w:spacing w:before="40" w:after="80"/>
      </w:pPr>
      <w:r>
        <w:rPr>
          <w:rFonts w:ascii="Calibri" w:hAnsi="Calibri"/>
          <w:color w:val="2C3E50"/>
        </w:rPr>
        <w:t>NICE PH50 (last reviewed July 2024, update planned) recommends routine enquiry in key settings. Ask all patients — domestic abuse is common and affects health significantly.</w:t>
      </w:r>
    </w:p>
    <w:p w14:paraId="6185D91D" w14:textId="77777777" w:rsidR="002703C1" w:rsidRDefault="00000000">
      <w:pPr>
        <w:spacing w:before="120" w:after="120"/>
      </w:pPr>
      <w:r>
        <w:rPr>
          <w:rFonts w:ascii="Calibri" w:hAnsi="Calibri"/>
          <w:b/>
          <w:color w:val="2E86AB"/>
          <w:sz w:val="24"/>
        </w:rPr>
        <w:t>Presentations that should prompt enquiry:</w:t>
      </w:r>
    </w:p>
    <w:p w14:paraId="66E70679" w14:textId="77777777" w:rsidR="002703C1" w:rsidRDefault="00000000">
      <w:pPr>
        <w:pStyle w:val="ListBullet"/>
        <w:spacing w:before="20" w:after="40"/>
        <w:ind w:left="432"/>
      </w:pPr>
      <w:r>
        <w:rPr>
          <w:rFonts w:ascii="Calibri" w:hAnsi="Calibri"/>
          <w:b/>
          <w:color w:val="2C3E50"/>
        </w:rPr>
        <w:t xml:space="preserve">Physical: </w:t>
      </w:r>
      <w:r>
        <w:rPr>
          <w:rFonts w:ascii="Calibri" w:hAnsi="Calibri"/>
          <w:color w:val="2C3E50"/>
        </w:rPr>
        <w:t>Unexplained or implausible injuries; injuries at unusual sites or different stages of healing; head, neck, or facial injuries; burns; pressure sores; signs of non-fatal strangulation (NFS) — often NO visible marks</w:t>
      </w:r>
    </w:p>
    <w:p w14:paraId="47F04119" w14:textId="77777777" w:rsidR="002703C1" w:rsidRDefault="00000000">
      <w:pPr>
        <w:pStyle w:val="ListBullet"/>
        <w:spacing w:before="20" w:after="40"/>
        <w:ind w:left="432"/>
      </w:pPr>
      <w:r>
        <w:rPr>
          <w:rFonts w:ascii="Calibri" w:hAnsi="Calibri"/>
          <w:b/>
          <w:color w:val="2C3E50"/>
        </w:rPr>
        <w:t xml:space="preserve">Psychological/behavioural: </w:t>
      </w:r>
      <w:r>
        <w:rPr>
          <w:rFonts w:ascii="Calibri" w:hAnsi="Calibri"/>
          <w:color w:val="2C3E50"/>
        </w:rPr>
        <w:t>Depression, anxiety, PTSD, panic attacks; self-harm or suicidal ideation; alcohol or substance misuse; chronic pain or medically unexplained symptoms; frequent attender with non-specific illness</w:t>
      </w:r>
    </w:p>
    <w:p w14:paraId="66FE408F" w14:textId="77777777" w:rsidR="002703C1" w:rsidRDefault="00000000">
      <w:pPr>
        <w:pStyle w:val="ListBullet"/>
        <w:spacing w:before="20" w:after="40"/>
        <w:ind w:left="432"/>
      </w:pPr>
      <w:r>
        <w:rPr>
          <w:rFonts w:ascii="Calibri" w:hAnsi="Calibri"/>
          <w:b/>
          <w:color w:val="2C3E50"/>
        </w:rPr>
        <w:t xml:space="preserve">Reproductive/GU: </w:t>
      </w:r>
      <w:r>
        <w:rPr>
          <w:rFonts w:ascii="Calibri" w:hAnsi="Calibri"/>
          <w:color w:val="2C3E50"/>
        </w:rPr>
        <w:t>Recurrent STIs; reproductive coercion; miscarriage or adverse pregnancy outcomes; non-attendance at maternity appointments</w:t>
      </w:r>
    </w:p>
    <w:p w14:paraId="42FF9E0B" w14:textId="77777777" w:rsidR="002703C1" w:rsidRDefault="00000000">
      <w:pPr>
        <w:pStyle w:val="ListBullet"/>
        <w:spacing w:before="20" w:after="40"/>
        <w:ind w:left="432"/>
      </w:pPr>
      <w:r>
        <w:rPr>
          <w:rFonts w:ascii="Calibri" w:hAnsi="Calibri"/>
          <w:b/>
          <w:color w:val="2C3E50"/>
        </w:rPr>
        <w:t xml:space="preserve">Consultation clues: </w:t>
      </w:r>
      <w:r>
        <w:rPr>
          <w:rFonts w:ascii="Calibri" w:hAnsi="Calibri"/>
          <w:color w:val="2C3E50"/>
        </w:rPr>
        <w:t>Partner speaks for the patient; patient appears fearful or anxious in partner's presence; partner accompanies to all appointments and insists on being present</w:t>
      </w:r>
    </w:p>
    <w:tbl>
      <w:tblPr>
        <w:tblStyle w:val="TableGrid"/>
        <w:tblW w:w="0" w:type="auto"/>
        <w:jc w:val="center"/>
        <w:tblLook w:val="04A0" w:firstRow="1" w:lastRow="0" w:firstColumn="1" w:lastColumn="0" w:noHBand="0" w:noVBand="1"/>
      </w:tblPr>
      <w:tblGrid>
        <w:gridCol w:w="9746"/>
      </w:tblGrid>
      <w:tr w:rsidR="002703C1" w14:paraId="7E47BEC3" w14:textId="77777777">
        <w:trPr>
          <w:jc w:val="center"/>
        </w:trPr>
        <w:tc>
          <w:tcPr>
            <w:tcW w:w="9746" w:type="dxa"/>
            <w:shd w:val="clear" w:color="auto" w:fill="FDEDEC"/>
          </w:tcPr>
          <w:p w14:paraId="635EDBA5" w14:textId="77777777" w:rsidR="002703C1" w:rsidRDefault="00000000">
            <w:pPr>
              <w:spacing w:before="80" w:after="40"/>
            </w:pPr>
            <w:r>
              <w:rPr>
                <w:rFonts w:ascii="Calibri" w:hAnsi="Calibri"/>
                <w:b/>
                <w:color w:val="C0392B"/>
              </w:rPr>
              <w:t>⚠ Non-Fatal Strangulation (NFS) — IFAS/FFLM Guidelines February 2024</w:t>
            </w:r>
          </w:p>
          <w:p w14:paraId="491D2601" w14:textId="77777777" w:rsidR="002703C1" w:rsidRDefault="00000000">
            <w:pPr>
              <w:spacing w:before="40" w:after="80"/>
            </w:pPr>
            <w:r>
              <w:rPr>
                <w:rFonts w:ascii="Calibri" w:hAnsi="Calibri"/>
                <w:sz w:val="21"/>
              </w:rPr>
              <w:t>• 50% of NFS victims have NO visible external injury — absence of marks must NOT be reassuring</w:t>
            </w:r>
            <w:r>
              <w:rPr>
                <w:rFonts w:ascii="Calibri" w:hAnsi="Calibri"/>
                <w:sz w:val="21"/>
              </w:rPr>
              <w:br/>
              <w:t>• NFS = standalone criminal offence (s.70 Domestic Abuse Act 2021)</w:t>
            </w:r>
            <w:r>
              <w:rPr>
                <w:rFonts w:ascii="Calibri" w:hAnsi="Calibri"/>
                <w:sz w:val="21"/>
              </w:rPr>
              <w:br/>
              <w:t>• NFS alone = automatic HIGH risk → refer to A&amp;E + MARAC referral</w:t>
            </w:r>
            <w:r>
              <w:rPr>
                <w:rFonts w:ascii="Calibri" w:hAnsi="Calibri"/>
                <w:sz w:val="21"/>
              </w:rPr>
              <w:br/>
              <w:t>• Red flags requiring CT angiography of neck/intracranial vessels within 1 hour: voice changes, dysphagia, dyspnoea, petechial haemorrhages, loss of consciousness, amnesia, neurological symptoms, severe headache, incontinence</w:t>
            </w:r>
            <w:r>
              <w:rPr>
                <w:rFonts w:ascii="Calibri" w:hAnsi="Calibri"/>
                <w:sz w:val="21"/>
              </w:rPr>
              <w:br/>
              <w:t>• Risk of delayed carotid artery dissection, stroke, and acquired brain injury (ABI) for up to 12 months post-NFS</w:t>
            </w:r>
            <w:r>
              <w:rPr>
                <w:rFonts w:ascii="Calibri" w:hAnsi="Calibri"/>
                <w:sz w:val="21"/>
              </w:rPr>
              <w:br/>
              <w:t>• ABI assessment by clinical neuropsychologist recommended at 3 months post-event</w:t>
            </w:r>
            <w:r>
              <w:rPr>
                <w:rFonts w:ascii="Calibri" w:hAnsi="Calibri"/>
                <w:sz w:val="21"/>
              </w:rPr>
              <w:br/>
              <w:t>• Write to GP with consent; ensure IDVA contact; safeguarding referrals in place</w:t>
            </w:r>
          </w:p>
        </w:tc>
      </w:tr>
    </w:tbl>
    <w:p w14:paraId="216E4D35" w14:textId="77777777" w:rsidR="002703C1" w:rsidRDefault="002703C1"/>
    <w:p w14:paraId="1F94A23A" w14:textId="77777777" w:rsidR="002703C1" w:rsidRDefault="00000000">
      <w:pPr>
        <w:spacing w:before="240" w:after="120"/>
      </w:pPr>
      <w:r>
        <w:rPr>
          <w:rFonts w:ascii="Calibri" w:hAnsi="Calibri"/>
          <w:b/>
          <w:color w:val="1A3A5C"/>
          <w:sz w:val="32"/>
        </w:rPr>
        <w:t>3. Asking the Question — Consultation Approach</w:t>
      </w:r>
    </w:p>
    <w:p w14:paraId="242058D9" w14:textId="77777777" w:rsidR="002703C1" w:rsidRDefault="00000000">
      <w:pPr>
        <w:spacing w:before="40" w:after="80"/>
      </w:pPr>
      <w:r>
        <w:rPr>
          <w:rFonts w:ascii="Calibri" w:hAnsi="Calibri"/>
          <w:color w:val="2C3E50"/>
        </w:rPr>
        <w:t>Always attempt to see the patient ALONE — even a brief moment without the partner is crucial. Use a professional interpreter (never a family member or partner).</w:t>
      </w:r>
    </w:p>
    <w:tbl>
      <w:tblPr>
        <w:tblStyle w:val="TableGrid"/>
        <w:tblW w:w="0" w:type="auto"/>
        <w:jc w:val="center"/>
        <w:tblLook w:val="04A0" w:firstRow="1" w:lastRow="0" w:firstColumn="1" w:lastColumn="0" w:noHBand="0" w:noVBand="1"/>
      </w:tblPr>
      <w:tblGrid>
        <w:gridCol w:w="9746"/>
      </w:tblGrid>
      <w:tr w:rsidR="002703C1" w14:paraId="5EB1CB81" w14:textId="77777777">
        <w:trPr>
          <w:jc w:val="center"/>
        </w:trPr>
        <w:tc>
          <w:tcPr>
            <w:tcW w:w="9746" w:type="dxa"/>
            <w:shd w:val="clear" w:color="auto" w:fill="E8F8F5"/>
          </w:tcPr>
          <w:p w14:paraId="07FD4524" w14:textId="77777777" w:rsidR="002703C1" w:rsidRDefault="00000000">
            <w:pPr>
              <w:spacing w:before="80" w:after="40"/>
            </w:pPr>
            <w:r>
              <w:rPr>
                <w:rFonts w:ascii="Calibri" w:hAnsi="Calibri"/>
                <w:b/>
                <w:color w:val="1E8449"/>
              </w:rPr>
              <w:t>💬 Suggested Opening Question (NICE PH50 style):</w:t>
            </w:r>
          </w:p>
          <w:p w14:paraId="1A52346C" w14:textId="77777777" w:rsidR="002703C1" w:rsidRDefault="00000000">
            <w:pPr>
              <w:spacing w:before="40" w:after="80"/>
            </w:pPr>
            <w:r>
              <w:rPr>
                <w:rFonts w:ascii="Calibri" w:hAnsi="Calibri"/>
                <w:sz w:val="21"/>
              </w:rPr>
              <w:t>"I ask all my patients about domestic abuse because it is so common and affects people's health in many ways. Is this something that affects you?"</w:t>
            </w:r>
          </w:p>
        </w:tc>
      </w:tr>
    </w:tbl>
    <w:p w14:paraId="508268C6" w14:textId="77777777" w:rsidR="002703C1" w:rsidRDefault="00000000">
      <w:pPr>
        <w:spacing w:before="120" w:after="120"/>
      </w:pPr>
      <w:r>
        <w:rPr>
          <w:rFonts w:ascii="Calibri" w:hAnsi="Calibri"/>
          <w:b/>
          <w:color w:val="2E86AB"/>
          <w:sz w:val="24"/>
        </w:rPr>
        <w:t>Remote Consultations:</w:t>
      </w:r>
    </w:p>
    <w:p w14:paraId="35FA5A22" w14:textId="77777777" w:rsidR="002703C1" w:rsidRDefault="00000000">
      <w:pPr>
        <w:pStyle w:val="ListBullet"/>
        <w:spacing w:before="20" w:after="40"/>
        <w:ind w:left="432"/>
      </w:pPr>
      <w:r>
        <w:rPr>
          <w:rFonts w:ascii="Calibri" w:hAnsi="Calibri"/>
          <w:color w:val="2C3E50"/>
        </w:rPr>
        <w:t>Ask: 'Are you free to talk safely right now?' before proceeding</w:t>
      </w:r>
    </w:p>
    <w:p w14:paraId="60609AE6" w14:textId="77777777" w:rsidR="002703C1" w:rsidRDefault="00000000">
      <w:pPr>
        <w:pStyle w:val="ListBullet"/>
        <w:spacing w:before="20" w:after="40"/>
        <w:ind w:left="432"/>
      </w:pPr>
      <w:r>
        <w:rPr>
          <w:rFonts w:ascii="Calibri" w:hAnsi="Calibri"/>
          <w:color w:val="2C3E50"/>
        </w:rPr>
        <w:t>Use a code word system if patient cannot speak freely</w:t>
      </w:r>
    </w:p>
    <w:p w14:paraId="75234D82" w14:textId="77777777" w:rsidR="002703C1" w:rsidRDefault="00000000">
      <w:pPr>
        <w:pStyle w:val="ListBullet"/>
        <w:spacing w:before="20" w:after="40"/>
        <w:ind w:left="432"/>
      </w:pPr>
      <w:r>
        <w:rPr>
          <w:rFonts w:ascii="Calibri" w:hAnsi="Calibri"/>
          <w:color w:val="2C3E50"/>
        </w:rPr>
        <w:t>Ask ANI scheme: patient asks pharmacy staff for 'ANI' — pharmacist provides private space to call police</w:t>
      </w:r>
    </w:p>
    <w:p w14:paraId="666159E7" w14:textId="77777777" w:rsidR="002703C1" w:rsidRDefault="00000000">
      <w:pPr>
        <w:pStyle w:val="ListBullet"/>
        <w:spacing w:before="20" w:after="40"/>
        <w:ind w:left="432"/>
      </w:pPr>
      <w:r>
        <w:rPr>
          <w:rFonts w:ascii="Calibri" w:hAnsi="Calibri"/>
          <w:color w:val="2C3E50"/>
        </w:rPr>
        <w:t>Do NOT share safety resources via the patient's normal device if the perpetrator monitors it</w:t>
      </w:r>
    </w:p>
    <w:p w14:paraId="3FC2DF7D" w14:textId="77777777" w:rsidR="002703C1" w:rsidRDefault="00000000">
      <w:pPr>
        <w:pStyle w:val="ListBullet"/>
        <w:spacing w:before="20" w:after="40"/>
        <w:ind w:left="432"/>
      </w:pPr>
      <w:r>
        <w:rPr>
          <w:rFonts w:ascii="Calibri" w:hAnsi="Calibri"/>
          <w:color w:val="2C3E50"/>
        </w:rPr>
        <w:t>Do NOT encourage the patient to leave the relationship — risk of homicide is highest at the point of leaving</w:t>
      </w:r>
    </w:p>
    <w:p w14:paraId="32049FD1" w14:textId="77777777" w:rsidR="002703C1" w:rsidRDefault="00000000">
      <w:pPr>
        <w:pStyle w:val="ListBullet"/>
        <w:spacing w:before="20" w:after="40"/>
        <w:ind w:left="432"/>
      </w:pPr>
      <w:r>
        <w:rPr>
          <w:rFonts w:ascii="Calibri" w:hAnsi="Calibri"/>
          <w:color w:val="2C3E50"/>
        </w:rPr>
        <w:t>Safety plan: important documents, medications, phone numbers, safe word with trusted person, legal options</w:t>
      </w:r>
    </w:p>
    <w:p w14:paraId="7673F3DB" w14:textId="77777777" w:rsidR="002703C1" w:rsidRDefault="00000000">
      <w:pPr>
        <w:spacing w:before="240" w:after="120"/>
      </w:pPr>
      <w:r>
        <w:rPr>
          <w:rFonts w:ascii="Calibri" w:hAnsi="Calibri"/>
          <w:b/>
          <w:color w:val="1A3A5C"/>
          <w:sz w:val="32"/>
        </w:rPr>
        <w:lastRenderedPageBreak/>
        <w:t>4. Safety Planning</w:t>
      </w:r>
    </w:p>
    <w:p w14:paraId="595F1E14" w14:textId="77777777" w:rsidR="002703C1" w:rsidRDefault="00000000">
      <w:pPr>
        <w:pStyle w:val="ListBullet"/>
        <w:spacing w:before="20" w:after="40"/>
        <w:ind w:left="432"/>
      </w:pPr>
      <w:r>
        <w:rPr>
          <w:rFonts w:ascii="Calibri" w:hAnsi="Calibri"/>
          <w:b/>
          <w:color w:val="2C3E50"/>
        </w:rPr>
        <w:t xml:space="preserve">Emergency plan: </w:t>
      </w:r>
      <w:r>
        <w:rPr>
          <w:rFonts w:ascii="Calibri" w:hAnsi="Calibri"/>
          <w:color w:val="2C3E50"/>
        </w:rPr>
        <w:t>Code word with a trusted person; safe place to go; children's school awareness</w:t>
      </w:r>
    </w:p>
    <w:p w14:paraId="3111D97B" w14:textId="77777777" w:rsidR="002703C1" w:rsidRDefault="00000000">
      <w:pPr>
        <w:pStyle w:val="ListBullet"/>
        <w:spacing w:before="20" w:after="40"/>
        <w:ind w:left="432"/>
      </w:pPr>
      <w:r>
        <w:rPr>
          <w:rFonts w:ascii="Calibri" w:hAnsi="Calibri"/>
          <w:b/>
          <w:color w:val="2C3E50"/>
        </w:rPr>
        <w:t xml:space="preserve">Important documents: </w:t>
      </w:r>
      <w:r>
        <w:rPr>
          <w:rFonts w:ascii="Calibri" w:hAnsi="Calibri"/>
          <w:color w:val="2C3E50"/>
        </w:rPr>
        <w:t>Passport, birth certificates, medication list, benefit books, tenancy agreement</w:t>
      </w:r>
    </w:p>
    <w:p w14:paraId="14D112F6" w14:textId="77777777" w:rsidR="002703C1" w:rsidRDefault="00000000">
      <w:pPr>
        <w:pStyle w:val="ListBullet"/>
        <w:spacing w:before="20" w:after="40"/>
        <w:ind w:left="432"/>
      </w:pPr>
      <w:r>
        <w:rPr>
          <w:rFonts w:ascii="Calibri" w:hAnsi="Calibri"/>
          <w:b/>
          <w:color w:val="2C3E50"/>
        </w:rPr>
        <w:t xml:space="preserve">Legal options: </w:t>
      </w:r>
      <w:r>
        <w:rPr>
          <w:rFonts w:ascii="Calibri" w:hAnsi="Calibri"/>
          <w:color w:val="2C3E50"/>
        </w:rPr>
        <w:t>Non-Molestation Order; Occupation Order; Prohibited Steps Order (children)</w:t>
      </w:r>
    </w:p>
    <w:p w14:paraId="33D12196" w14:textId="77777777" w:rsidR="002703C1" w:rsidRDefault="00000000">
      <w:pPr>
        <w:pStyle w:val="ListBullet"/>
        <w:spacing w:before="20" w:after="40"/>
        <w:ind w:left="432"/>
      </w:pPr>
      <w:r>
        <w:rPr>
          <w:rFonts w:ascii="Calibri" w:hAnsi="Calibri"/>
          <w:b/>
          <w:color w:val="2C3E50"/>
        </w:rPr>
        <w:t xml:space="preserve">Financial safety: </w:t>
      </w:r>
      <w:r>
        <w:rPr>
          <w:rFonts w:ascii="Calibri" w:hAnsi="Calibri"/>
          <w:color w:val="2C3E50"/>
        </w:rPr>
        <w:t>Separate bank account; awareness of economic abuse indicators</w:t>
      </w:r>
    </w:p>
    <w:p w14:paraId="79025680" w14:textId="77777777" w:rsidR="002703C1" w:rsidRDefault="00000000">
      <w:pPr>
        <w:pStyle w:val="ListBullet"/>
        <w:spacing w:before="20" w:after="40"/>
        <w:ind w:left="432"/>
      </w:pPr>
      <w:r>
        <w:rPr>
          <w:rFonts w:ascii="Calibri" w:hAnsi="Calibri"/>
          <w:b/>
          <w:color w:val="2C3E50"/>
        </w:rPr>
        <w:t xml:space="preserve">Referral: </w:t>
      </w:r>
      <w:r>
        <w:rPr>
          <w:rFonts w:ascii="Calibri" w:hAnsi="Calibri"/>
          <w:color w:val="2C3E50"/>
        </w:rPr>
        <w:t>IDVA (Independent Domestic Violence Advisor); specialist DA service; MARAC if high risk</w:t>
      </w:r>
    </w:p>
    <w:p w14:paraId="69BD52A0" w14:textId="77777777" w:rsidR="002703C1" w:rsidRDefault="00000000">
      <w:pPr>
        <w:spacing w:before="240" w:after="120"/>
      </w:pPr>
      <w:r>
        <w:rPr>
          <w:rFonts w:ascii="Calibri" w:hAnsi="Calibri"/>
          <w:b/>
          <w:color w:val="1A3A5C"/>
          <w:sz w:val="32"/>
        </w:rPr>
        <w:t>5. Safe Documentation</w:t>
      </w:r>
    </w:p>
    <w:p w14:paraId="1F17B425" w14:textId="77777777" w:rsidR="002703C1" w:rsidRDefault="00000000">
      <w:pPr>
        <w:pStyle w:val="ListBullet"/>
        <w:spacing w:before="20" w:after="40"/>
        <w:ind w:left="432"/>
      </w:pPr>
      <w:r>
        <w:rPr>
          <w:rFonts w:ascii="Calibri" w:hAnsi="Calibri"/>
          <w:color w:val="2C3E50"/>
        </w:rPr>
        <w:t>Use the DA template in SystmOne: GP Assist &gt; Safeguarding &gt; Domestic Abuse</w:t>
      </w:r>
    </w:p>
    <w:p w14:paraId="6B66B81F" w14:textId="77777777" w:rsidR="002703C1" w:rsidRDefault="00000000">
      <w:pPr>
        <w:pStyle w:val="ListBullet"/>
        <w:spacing w:before="20" w:after="40"/>
        <w:ind w:left="432"/>
      </w:pPr>
      <w:r>
        <w:rPr>
          <w:rFonts w:ascii="Calibri" w:hAnsi="Calibri"/>
          <w:color w:val="2C3E50"/>
        </w:rPr>
        <w:t>Mark ALL DA entries: 'Not for online viewing' — perpetrators often have access to the patient's online record</w:t>
      </w:r>
    </w:p>
    <w:p w14:paraId="5EB25E71" w14:textId="77777777" w:rsidR="002703C1" w:rsidRDefault="00000000">
      <w:pPr>
        <w:pStyle w:val="ListBullet"/>
        <w:spacing w:before="20" w:after="40"/>
        <w:ind w:left="432"/>
      </w:pPr>
      <w:r>
        <w:rPr>
          <w:rFonts w:ascii="Calibri" w:hAnsi="Calibri"/>
          <w:color w:val="2C3E50"/>
        </w:rPr>
        <w:t>Record disclosures in the patient's OWN WORDS using quotation marks</w:t>
      </w:r>
    </w:p>
    <w:p w14:paraId="7BDE0584" w14:textId="77777777" w:rsidR="002703C1" w:rsidRDefault="00000000">
      <w:pPr>
        <w:pStyle w:val="ListBullet"/>
        <w:spacing w:before="20" w:after="40"/>
        <w:ind w:left="432"/>
      </w:pPr>
      <w:r>
        <w:rPr>
          <w:rFonts w:ascii="Calibri" w:hAnsi="Calibri"/>
          <w:color w:val="2C3E50"/>
        </w:rPr>
        <w:t>Record the alleged perpetrator's name and DOB in the VICTIM'S record ONLY</w:t>
      </w:r>
    </w:p>
    <w:p w14:paraId="0F868B72" w14:textId="77777777" w:rsidR="002703C1" w:rsidRDefault="00000000">
      <w:pPr>
        <w:pStyle w:val="ListBullet"/>
        <w:spacing w:before="20" w:after="40"/>
        <w:ind w:left="432"/>
      </w:pPr>
      <w:r>
        <w:rPr>
          <w:rFonts w:ascii="Calibri" w:hAnsi="Calibri"/>
          <w:color w:val="2C3E50"/>
        </w:rPr>
        <w:t>Do NOT record DA information in the alleged perpetrator's clinical record</w:t>
      </w:r>
    </w:p>
    <w:p w14:paraId="37A05CDF" w14:textId="77777777" w:rsidR="002703C1" w:rsidRDefault="00000000">
      <w:pPr>
        <w:pStyle w:val="ListBullet"/>
        <w:spacing w:before="20" w:after="40"/>
        <w:ind w:left="432"/>
      </w:pPr>
      <w:r>
        <w:rPr>
          <w:rFonts w:ascii="Calibri" w:hAnsi="Calibri"/>
          <w:color w:val="2C3E50"/>
        </w:rPr>
        <w:t>Document consent to share information; if overridden, document the clinical justification</w:t>
      </w:r>
    </w:p>
    <w:p w14:paraId="1E17A34B" w14:textId="77777777" w:rsidR="002703C1" w:rsidRDefault="00000000">
      <w:pPr>
        <w:pStyle w:val="ListBullet"/>
        <w:spacing w:before="20" w:after="40"/>
        <w:ind w:left="432"/>
      </w:pPr>
      <w:r>
        <w:rPr>
          <w:rFonts w:ascii="Calibri" w:hAnsi="Calibri"/>
          <w:color w:val="2C3E50"/>
        </w:rPr>
        <w:t>GPs cannot charge for letters supporting a legal aid application — DA Act 2021 (these letters are NOT admissible as evidence in court)</w:t>
      </w:r>
    </w:p>
    <w:p w14:paraId="0BE02447" w14:textId="77777777" w:rsidR="002703C1" w:rsidRDefault="00000000">
      <w:pPr>
        <w:pStyle w:val="ListBullet"/>
        <w:spacing w:before="20" w:after="40"/>
        <w:ind w:left="432"/>
      </w:pPr>
      <w:r>
        <w:rPr>
          <w:rFonts w:ascii="Calibri" w:hAnsi="Calibri"/>
          <w:color w:val="2C3E50"/>
        </w:rPr>
        <w:t>Mark any NFS/DA documentation 'Not for online viewing' and 'Contains 3rd party information'</w:t>
      </w:r>
    </w:p>
    <w:p w14:paraId="30DC7BD4" w14:textId="77777777" w:rsidR="002703C1" w:rsidRDefault="00000000">
      <w:pPr>
        <w:spacing w:before="240" w:after="120"/>
      </w:pPr>
      <w:r>
        <w:rPr>
          <w:rFonts w:ascii="Calibri" w:hAnsi="Calibri"/>
          <w:b/>
          <w:color w:val="1A3A5C"/>
          <w:sz w:val="32"/>
        </w:rPr>
        <w:t>6. The DASH Risk Assessment Tool (SafeLives)</w:t>
      </w:r>
    </w:p>
    <w:p w14:paraId="15874B29" w14:textId="77777777" w:rsidR="002703C1" w:rsidRDefault="00000000">
      <w:pPr>
        <w:spacing w:before="40" w:after="80"/>
      </w:pPr>
      <w:r>
        <w:rPr>
          <w:rFonts w:ascii="Calibri" w:hAnsi="Calibri"/>
          <w:color w:val="2C3E50"/>
        </w:rPr>
        <w:t>The SafeLives DASH (Domestic Abuse, Stalking and Honour-based Violence) Risk Indicator Checklist is the nationally recommended risk stratification tool for domestic abuse in UK primary care.</w:t>
      </w:r>
    </w:p>
    <w:tbl>
      <w:tblPr>
        <w:tblStyle w:val="TableGrid"/>
        <w:tblW w:w="0" w:type="auto"/>
        <w:jc w:val="center"/>
        <w:tblLook w:val="04A0" w:firstRow="1" w:lastRow="0" w:firstColumn="1" w:lastColumn="0" w:noHBand="0" w:noVBand="1"/>
      </w:tblPr>
      <w:tblGrid>
        <w:gridCol w:w="3249"/>
        <w:gridCol w:w="3249"/>
        <w:gridCol w:w="3249"/>
      </w:tblGrid>
      <w:tr w:rsidR="002703C1" w14:paraId="665FC948" w14:textId="77777777">
        <w:trPr>
          <w:jc w:val="center"/>
        </w:trPr>
        <w:tc>
          <w:tcPr>
            <w:tcW w:w="3249" w:type="dxa"/>
            <w:shd w:val="clear" w:color="auto" w:fill="1A3A5C"/>
          </w:tcPr>
          <w:p w14:paraId="025B20E4" w14:textId="77777777" w:rsidR="002703C1" w:rsidRDefault="00000000">
            <w:pPr>
              <w:jc w:val="center"/>
            </w:pPr>
            <w:r>
              <w:rPr>
                <w:rFonts w:ascii="Calibri" w:hAnsi="Calibri"/>
                <w:b/>
                <w:color w:val="FFFFFF"/>
                <w:sz w:val="21"/>
              </w:rPr>
              <w:t>Risk Category</w:t>
            </w:r>
          </w:p>
        </w:tc>
        <w:tc>
          <w:tcPr>
            <w:tcW w:w="3249" w:type="dxa"/>
            <w:shd w:val="clear" w:color="auto" w:fill="1A3A5C"/>
          </w:tcPr>
          <w:p w14:paraId="7D0978C1" w14:textId="77777777" w:rsidR="002703C1" w:rsidRDefault="00000000">
            <w:pPr>
              <w:jc w:val="center"/>
            </w:pPr>
            <w:r>
              <w:rPr>
                <w:rFonts w:ascii="Calibri" w:hAnsi="Calibri"/>
                <w:b/>
                <w:color w:val="FFFFFF"/>
                <w:sz w:val="21"/>
              </w:rPr>
              <w:t>Threshold</w:t>
            </w:r>
          </w:p>
        </w:tc>
        <w:tc>
          <w:tcPr>
            <w:tcW w:w="3249" w:type="dxa"/>
            <w:shd w:val="clear" w:color="auto" w:fill="1A3A5C"/>
          </w:tcPr>
          <w:p w14:paraId="6F6A9194" w14:textId="77777777" w:rsidR="002703C1" w:rsidRDefault="00000000">
            <w:pPr>
              <w:jc w:val="center"/>
            </w:pPr>
            <w:r>
              <w:rPr>
                <w:rFonts w:ascii="Calibri" w:hAnsi="Calibri"/>
                <w:b/>
                <w:color w:val="FFFFFF"/>
                <w:sz w:val="21"/>
              </w:rPr>
              <w:t>Required Action</w:t>
            </w:r>
          </w:p>
        </w:tc>
      </w:tr>
      <w:tr w:rsidR="002703C1" w14:paraId="47B5A049" w14:textId="77777777">
        <w:trPr>
          <w:jc w:val="center"/>
        </w:trPr>
        <w:tc>
          <w:tcPr>
            <w:tcW w:w="3249" w:type="dxa"/>
            <w:shd w:val="clear" w:color="auto" w:fill="EBF5FB"/>
          </w:tcPr>
          <w:p w14:paraId="03B9CC5E" w14:textId="77777777" w:rsidR="002703C1" w:rsidRDefault="00000000">
            <w:r>
              <w:rPr>
                <w:rFonts w:ascii="Calibri" w:hAnsi="Calibri"/>
                <w:sz w:val="20"/>
              </w:rPr>
              <w:t>Standard</w:t>
            </w:r>
          </w:p>
        </w:tc>
        <w:tc>
          <w:tcPr>
            <w:tcW w:w="3249" w:type="dxa"/>
            <w:shd w:val="clear" w:color="auto" w:fill="EBF5FB"/>
          </w:tcPr>
          <w:p w14:paraId="09E1D345" w14:textId="77777777" w:rsidR="002703C1" w:rsidRDefault="00000000">
            <w:r>
              <w:rPr>
                <w:rFonts w:ascii="Calibri" w:hAnsi="Calibri"/>
                <w:sz w:val="20"/>
              </w:rPr>
              <w:t>Fewer than 14 questions positive AND no professional concern</w:t>
            </w:r>
          </w:p>
        </w:tc>
        <w:tc>
          <w:tcPr>
            <w:tcW w:w="3249" w:type="dxa"/>
            <w:shd w:val="clear" w:color="auto" w:fill="EBF5FB"/>
          </w:tcPr>
          <w:p w14:paraId="3772BC7C" w14:textId="77777777" w:rsidR="002703C1" w:rsidRDefault="00000000">
            <w:r>
              <w:rPr>
                <w:rFonts w:ascii="Calibri" w:hAnsi="Calibri"/>
                <w:sz w:val="20"/>
              </w:rPr>
              <w:t>Safety planning; self-help resources; consider IDVA referral</w:t>
            </w:r>
          </w:p>
        </w:tc>
      </w:tr>
      <w:tr w:rsidR="002703C1" w14:paraId="2EB88F08" w14:textId="77777777">
        <w:trPr>
          <w:jc w:val="center"/>
        </w:trPr>
        <w:tc>
          <w:tcPr>
            <w:tcW w:w="3249" w:type="dxa"/>
            <w:shd w:val="clear" w:color="auto" w:fill="FFFFFF"/>
          </w:tcPr>
          <w:p w14:paraId="1DD2F60D" w14:textId="77777777" w:rsidR="002703C1" w:rsidRDefault="00000000">
            <w:r>
              <w:rPr>
                <w:rFonts w:ascii="Calibri" w:hAnsi="Calibri"/>
                <w:sz w:val="20"/>
              </w:rPr>
              <w:t>Medium</w:t>
            </w:r>
          </w:p>
        </w:tc>
        <w:tc>
          <w:tcPr>
            <w:tcW w:w="3249" w:type="dxa"/>
            <w:shd w:val="clear" w:color="auto" w:fill="FFFFFF"/>
          </w:tcPr>
          <w:p w14:paraId="413608EB" w14:textId="77777777" w:rsidR="002703C1" w:rsidRDefault="00000000">
            <w:r>
              <w:rPr>
                <w:rFonts w:ascii="Calibri" w:hAnsi="Calibri"/>
                <w:sz w:val="20"/>
              </w:rPr>
              <w:t>14+ questions positive OR professional judgement (without all high-risk indicators)</w:t>
            </w:r>
          </w:p>
        </w:tc>
        <w:tc>
          <w:tcPr>
            <w:tcW w:w="3249" w:type="dxa"/>
            <w:shd w:val="clear" w:color="auto" w:fill="FFFFFF"/>
          </w:tcPr>
          <w:p w14:paraId="5101020D" w14:textId="77777777" w:rsidR="002703C1" w:rsidRDefault="00000000">
            <w:r>
              <w:rPr>
                <w:rFonts w:ascii="Calibri" w:hAnsi="Calibri"/>
                <w:sz w:val="20"/>
              </w:rPr>
              <w:t>IDVA referral; close monitoring; consider MARAC referral</w:t>
            </w:r>
          </w:p>
        </w:tc>
      </w:tr>
      <w:tr w:rsidR="002703C1" w14:paraId="0A22EAB4" w14:textId="77777777">
        <w:trPr>
          <w:jc w:val="center"/>
        </w:trPr>
        <w:tc>
          <w:tcPr>
            <w:tcW w:w="3249" w:type="dxa"/>
            <w:shd w:val="clear" w:color="auto" w:fill="EBF5FB"/>
          </w:tcPr>
          <w:p w14:paraId="7953E55E" w14:textId="77777777" w:rsidR="002703C1" w:rsidRDefault="00000000">
            <w:r>
              <w:rPr>
                <w:rFonts w:ascii="Calibri" w:hAnsi="Calibri"/>
                <w:sz w:val="20"/>
              </w:rPr>
              <w:t>High</w:t>
            </w:r>
          </w:p>
        </w:tc>
        <w:tc>
          <w:tcPr>
            <w:tcW w:w="3249" w:type="dxa"/>
            <w:shd w:val="clear" w:color="auto" w:fill="EBF5FB"/>
          </w:tcPr>
          <w:p w14:paraId="22934195" w14:textId="77777777" w:rsidR="002703C1" w:rsidRDefault="00000000">
            <w:r>
              <w:rPr>
                <w:rFonts w:ascii="Calibri" w:hAnsi="Calibri"/>
                <w:sz w:val="20"/>
              </w:rPr>
              <w:t>14+ questions positive AND/OR professional judgement AND/OR ANY single high-risk indicator (e.g. NFS, weapon, threats to kill)</w:t>
            </w:r>
          </w:p>
        </w:tc>
        <w:tc>
          <w:tcPr>
            <w:tcW w:w="3249" w:type="dxa"/>
            <w:shd w:val="clear" w:color="auto" w:fill="EBF5FB"/>
          </w:tcPr>
          <w:p w14:paraId="0647C37B" w14:textId="77777777" w:rsidR="002703C1" w:rsidRDefault="00000000">
            <w:r>
              <w:rPr>
                <w:rFonts w:ascii="Calibri" w:hAnsi="Calibri"/>
                <w:sz w:val="20"/>
              </w:rPr>
              <w:t>MARAC referral MANDATORY</w:t>
            </w:r>
          </w:p>
        </w:tc>
      </w:tr>
    </w:tbl>
    <w:p w14:paraId="7892A486" w14:textId="77777777" w:rsidR="002703C1" w:rsidRDefault="002703C1"/>
    <w:tbl>
      <w:tblPr>
        <w:tblStyle w:val="TableGrid"/>
        <w:tblW w:w="0" w:type="auto"/>
        <w:jc w:val="center"/>
        <w:tblLook w:val="04A0" w:firstRow="1" w:lastRow="0" w:firstColumn="1" w:lastColumn="0" w:noHBand="0" w:noVBand="1"/>
      </w:tblPr>
      <w:tblGrid>
        <w:gridCol w:w="9746"/>
      </w:tblGrid>
      <w:tr w:rsidR="002703C1" w14:paraId="0B7ED9F5" w14:textId="77777777">
        <w:trPr>
          <w:jc w:val="center"/>
        </w:trPr>
        <w:tc>
          <w:tcPr>
            <w:tcW w:w="9746" w:type="dxa"/>
            <w:shd w:val="clear" w:color="auto" w:fill="E8F4FD"/>
          </w:tcPr>
          <w:p w14:paraId="2CBE9E2B" w14:textId="77777777" w:rsidR="002703C1" w:rsidRDefault="00000000">
            <w:pPr>
              <w:spacing w:before="80" w:after="40"/>
            </w:pPr>
            <w:r>
              <w:rPr>
                <w:rFonts w:ascii="Calibri" w:hAnsi="Calibri"/>
                <w:b/>
                <w:color w:val="1A3A5C"/>
              </w:rPr>
              <w:t>🔑 Key DASH Points</w:t>
            </w:r>
          </w:p>
          <w:p w14:paraId="27C6AA45" w14:textId="77777777" w:rsidR="002703C1" w:rsidRDefault="00000000">
            <w:pPr>
              <w:spacing w:before="40" w:after="80"/>
            </w:pPr>
            <w:r>
              <w:rPr>
                <w:rFonts w:ascii="Calibri" w:hAnsi="Calibri"/>
                <w:sz w:val="21"/>
              </w:rPr>
              <w:t>• 27 questions covering physical violence, sexual violence, threats to kill, weapons, pregnancy, children, strangulation, stalking, HBV, substance misuse</w:t>
            </w:r>
            <w:r>
              <w:rPr>
                <w:rFonts w:ascii="Calibri" w:hAnsi="Calibri"/>
                <w:sz w:val="21"/>
              </w:rPr>
              <w:br/>
              <w:t>• Score ≥14 = HIGH risk → MARAC mandatory</w:t>
            </w:r>
            <w:r>
              <w:rPr>
                <w:rFonts w:ascii="Calibri" w:hAnsi="Calibri"/>
                <w:sz w:val="21"/>
              </w:rPr>
              <w:br/>
              <w:t>• NFS alone = HIGH risk regardless of score → MARAC referral</w:t>
            </w:r>
            <w:r>
              <w:rPr>
                <w:rFonts w:ascii="Calibri" w:hAnsi="Calibri"/>
                <w:sz w:val="21"/>
              </w:rPr>
              <w:br/>
              <w:t>• Professional judgement CAN and SHOULD override a lower score — refer if in doubt</w:t>
            </w:r>
            <w:r>
              <w:rPr>
                <w:rFonts w:ascii="Calibri" w:hAnsi="Calibri"/>
                <w:sz w:val="21"/>
              </w:rPr>
              <w:br/>
              <w:t>• Complete with the patient where safe to do so; include narrative alongside the tick-boxes</w:t>
            </w:r>
            <w:r>
              <w:rPr>
                <w:rFonts w:ascii="Calibri" w:hAnsi="Calibri"/>
                <w:sz w:val="21"/>
              </w:rPr>
              <w:br/>
              <w:t>• Severity of Abuse Grid (SOAG): used alongside DASH for MARAC cases to map severity and escalation</w:t>
            </w:r>
          </w:p>
        </w:tc>
      </w:tr>
    </w:tbl>
    <w:p w14:paraId="1C7C4B05" w14:textId="77777777" w:rsidR="002703C1" w:rsidRDefault="002703C1"/>
    <w:p w14:paraId="6756CF70" w14:textId="77777777" w:rsidR="002703C1" w:rsidRDefault="00000000">
      <w:pPr>
        <w:spacing w:before="240" w:after="120"/>
      </w:pPr>
      <w:r>
        <w:rPr>
          <w:rFonts w:ascii="Calibri" w:hAnsi="Calibri"/>
          <w:b/>
          <w:color w:val="1A3A5C"/>
          <w:sz w:val="32"/>
        </w:rPr>
        <w:lastRenderedPageBreak/>
        <w:t>7. MARAC — Multi-Agency Risk Assessment Conference</w:t>
      </w:r>
    </w:p>
    <w:p w14:paraId="0860E69D" w14:textId="77777777" w:rsidR="002703C1" w:rsidRDefault="00000000">
      <w:pPr>
        <w:spacing w:before="40" w:after="80"/>
      </w:pPr>
      <w:r>
        <w:rPr>
          <w:rFonts w:ascii="Calibri" w:hAnsi="Calibri"/>
          <w:color w:val="2C3E50"/>
        </w:rPr>
        <w:t>A MARAC is a meeting where information is shared on the HIGHEST RISK domestic abuse cases. Over 270 MARACs operate across the UK, attended by police, health, child protection, housing, IDVAs, probation, and voluntary sector organisations.</w:t>
      </w:r>
    </w:p>
    <w:p w14:paraId="087BD03B" w14:textId="77777777" w:rsidR="002703C1" w:rsidRDefault="00000000">
      <w:pPr>
        <w:spacing w:before="40" w:after="80"/>
      </w:pPr>
      <w:r>
        <w:rPr>
          <w:rFonts w:ascii="Calibri" w:hAnsi="Calibri"/>
          <w:color w:val="2C3E50"/>
        </w:rPr>
        <w:t>Primary focus: safeguard the adult victim. The victim does NOT attend but is represented by an IDVA.</w:t>
      </w:r>
    </w:p>
    <w:p w14:paraId="10F02DF2" w14:textId="77777777" w:rsidR="002703C1" w:rsidRDefault="00000000">
      <w:pPr>
        <w:spacing w:before="120" w:after="120"/>
      </w:pPr>
      <w:r>
        <w:rPr>
          <w:rFonts w:ascii="Calibri" w:hAnsi="Calibri"/>
          <w:b/>
          <w:color w:val="2E86AB"/>
          <w:sz w:val="24"/>
        </w:rPr>
        <w:t>When to refer to MARAC:</w:t>
      </w:r>
    </w:p>
    <w:p w14:paraId="691F4D77" w14:textId="77777777" w:rsidR="002703C1" w:rsidRDefault="00000000">
      <w:pPr>
        <w:pStyle w:val="ListBullet"/>
        <w:spacing w:before="20" w:after="40"/>
        <w:ind w:left="432"/>
      </w:pPr>
      <w:r>
        <w:rPr>
          <w:rFonts w:ascii="Calibri" w:hAnsi="Calibri"/>
          <w:color w:val="2C3E50"/>
        </w:rPr>
        <w:t>DASH score ≥14</w:t>
      </w:r>
    </w:p>
    <w:p w14:paraId="70EBC30A" w14:textId="77777777" w:rsidR="002703C1" w:rsidRDefault="00000000">
      <w:pPr>
        <w:pStyle w:val="ListBullet"/>
        <w:spacing w:before="20" w:after="40"/>
        <w:ind w:left="432"/>
      </w:pPr>
      <w:r>
        <w:rPr>
          <w:rFonts w:ascii="Calibri" w:hAnsi="Calibri"/>
          <w:color w:val="2C3E50"/>
        </w:rPr>
        <w:t>Professional judgement — refer even with a lower DASH score if you believe there is high risk</w:t>
      </w:r>
    </w:p>
    <w:p w14:paraId="1FA65DA8" w14:textId="77777777" w:rsidR="002703C1" w:rsidRDefault="00000000">
      <w:pPr>
        <w:pStyle w:val="ListBullet"/>
        <w:spacing w:before="20" w:after="40"/>
        <w:ind w:left="432"/>
      </w:pPr>
      <w:r>
        <w:rPr>
          <w:rFonts w:ascii="Calibri" w:hAnsi="Calibri"/>
          <w:color w:val="2C3E50"/>
        </w:rPr>
        <w:t>Any episode of non-fatal strangulation (NFS) — sufficient alone</w:t>
      </w:r>
    </w:p>
    <w:p w14:paraId="4C63B5CB" w14:textId="77777777" w:rsidR="002703C1" w:rsidRDefault="00000000">
      <w:pPr>
        <w:pStyle w:val="ListBullet"/>
        <w:spacing w:before="20" w:after="40"/>
        <w:ind w:left="432"/>
      </w:pPr>
      <w:r>
        <w:rPr>
          <w:rFonts w:ascii="Calibri" w:hAnsi="Calibri"/>
          <w:color w:val="2C3E50"/>
        </w:rPr>
        <w:t>Perpetrator has used weapons or threatened to kill</w:t>
      </w:r>
    </w:p>
    <w:p w14:paraId="28421CB1" w14:textId="77777777" w:rsidR="002703C1" w:rsidRDefault="00000000">
      <w:pPr>
        <w:pStyle w:val="ListBullet"/>
        <w:spacing w:before="20" w:after="40"/>
        <w:ind w:left="432"/>
      </w:pPr>
      <w:r>
        <w:rPr>
          <w:rFonts w:ascii="Calibri" w:hAnsi="Calibri"/>
          <w:color w:val="2C3E50"/>
        </w:rPr>
        <w:t>Victim is pregnant or has given birth in the last 12 months</w:t>
      </w:r>
    </w:p>
    <w:p w14:paraId="0B537404" w14:textId="77777777" w:rsidR="002703C1" w:rsidRDefault="00000000">
      <w:pPr>
        <w:pStyle w:val="ListBullet"/>
        <w:spacing w:before="20" w:after="40"/>
        <w:ind w:left="432"/>
      </w:pPr>
      <w:r>
        <w:rPr>
          <w:rFonts w:ascii="Calibri" w:hAnsi="Calibri"/>
          <w:color w:val="2C3E50"/>
        </w:rPr>
        <w:t>Repeated or escalating pattern of abuse</w:t>
      </w:r>
    </w:p>
    <w:tbl>
      <w:tblPr>
        <w:tblStyle w:val="TableGrid"/>
        <w:tblW w:w="0" w:type="auto"/>
        <w:jc w:val="center"/>
        <w:tblLook w:val="04A0" w:firstRow="1" w:lastRow="0" w:firstColumn="1" w:lastColumn="0" w:noHBand="0" w:noVBand="1"/>
      </w:tblPr>
      <w:tblGrid>
        <w:gridCol w:w="9746"/>
      </w:tblGrid>
      <w:tr w:rsidR="002703C1" w14:paraId="5FFA3703" w14:textId="77777777">
        <w:trPr>
          <w:jc w:val="center"/>
        </w:trPr>
        <w:tc>
          <w:tcPr>
            <w:tcW w:w="9746" w:type="dxa"/>
            <w:shd w:val="clear" w:color="auto" w:fill="FDEDEC"/>
          </w:tcPr>
          <w:p w14:paraId="1B967C65" w14:textId="77777777" w:rsidR="002703C1" w:rsidRDefault="00000000">
            <w:pPr>
              <w:spacing w:before="80" w:after="40"/>
            </w:pPr>
            <w:r>
              <w:rPr>
                <w:rFonts w:ascii="Calibri" w:hAnsi="Calibri"/>
                <w:b/>
                <w:color w:val="C0392B"/>
              </w:rPr>
              <w:t>⚡ Can you refer without consent?</w:t>
            </w:r>
          </w:p>
          <w:p w14:paraId="772EF858" w14:textId="77777777" w:rsidR="002703C1" w:rsidRDefault="00000000">
            <w:pPr>
              <w:spacing w:before="40" w:after="80"/>
            </w:pPr>
            <w:r>
              <w:rPr>
                <w:rFonts w:ascii="Calibri" w:hAnsi="Calibri"/>
                <w:sz w:val="21"/>
              </w:rPr>
              <w:t>YES. You have a DUTY to refer even WITHOUT patient consent if there is high risk of domestic homicide.</w:t>
            </w:r>
            <w:r>
              <w:rPr>
                <w:rFonts w:ascii="Calibri" w:hAnsi="Calibri"/>
                <w:sz w:val="21"/>
              </w:rPr>
              <w:br/>
              <w:t>Legal basis: Crime and Disorder Act 1998 (prevention and detection of crime).</w:t>
            </w:r>
            <w:r>
              <w:rPr>
                <w:rFonts w:ascii="Calibri" w:hAnsi="Calibri"/>
                <w:sz w:val="21"/>
              </w:rPr>
              <w:br/>
              <w:t>Always attempt to obtain consent and explain the MARAC process to the patient.</w:t>
            </w:r>
            <w:r>
              <w:rPr>
                <w:rFonts w:ascii="Calibri" w:hAnsi="Calibri"/>
                <w:sz w:val="21"/>
              </w:rPr>
              <w:br/>
              <w:t>Best practice: inform the patient that a referral is being made even if consent is not given.</w:t>
            </w:r>
          </w:p>
        </w:tc>
      </w:tr>
    </w:tbl>
    <w:p w14:paraId="1D1D4F6D" w14:textId="77777777" w:rsidR="002703C1" w:rsidRDefault="002703C1"/>
    <w:p w14:paraId="087CBA34" w14:textId="77777777" w:rsidR="002703C1" w:rsidRDefault="00000000">
      <w:pPr>
        <w:spacing w:before="120" w:after="120"/>
      </w:pPr>
      <w:r>
        <w:rPr>
          <w:rFonts w:ascii="Calibri" w:hAnsi="Calibri"/>
          <w:b/>
          <w:color w:val="2E86AB"/>
          <w:sz w:val="24"/>
        </w:rPr>
        <w:t>Simultaneously with MARAC referral:</w:t>
      </w:r>
    </w:p>
    <w:p w14:paraId="340019CF" w14:textId="77777777" w:rsidR="002703C1" w:rsidRDefault="00000000">
      <w:pPr>
        <w:pStyle w:val="ListBullet"/>
        <w:spacing w:before="20" w:after="40"/>
        <w:ind w:left="432"/>
      </w:pPr>
      <w:r>
        <w:rPr>
          <w:rFonts w:ascii="Calibri" w:hAnsi="Calibri"/>
          <w:color w:val="2C3E50"/>
        </w:rPr>
        <w:t>Refer children to Children's Social Care (CSC) — parental consent NOT required if it would increase risk</w:t>
      </w:r>
    </w:p>
    <w:p w14:paraId="02EAE787" w14:textId="77777777" w:rsidR="002703C1" w:rsidRDefault="00000000">
      <w:pPr>
        <w:pStyle w:val="ListBullet"/>
        <w:spacing w:before="20" w:after="40"/>
        <w:ind w:left="432"/>
      </w:pPr>
      <w:r>
        <w:rPr>
          <w:rFonts w:ascii="Calibri" w:hAnsi="Calibri"/>
          <w:color w:val="2C3E50"/>
        </w:rPr>
        <w:t>Consider adult safeguarding referral if any adults at risk in the household</w:t>
      </w:r>
    </w:p>
    <w:p w14:paraId="08C0EAE8" w14:textId="77777777" w:rsidR="002703C1" w:rsidRDefault="00000000">
      <w:pPr>
        <w:spacing w:before="240" w:after="120"/>
      </w:pPr>
      <w:r>
        <w:rPr>
          <w:rFonts w:ascii="Calibri" w:hAnsi="Calibri"/>
          <w:b/>
          <w:color w:val="1A3A5C"/>
          <w:sz w:val="32"/>
        </w:rPr>
        <w:t>8. What Information to Contribute to MARAC (Bradford GP Guide)</w:t>
      </w:r>
    </w:p>
    <w:p w14:paraId="6C0076FC" w14:textId="77777777" w:rsidR="002703C1" w:rsidRDefault="00000000">
      <w:pPr>
        <w:pStyle w:val="ListBullet"/>
        <w:spacing w:before="20" w:after="40"/>
        <w:ind w:left="432"/>
      </w:pPr>
      <w:r>
        <w:rPr>
          <w:rFonts w:ascii="Calibri" w:hAnsi="Calibri"/>
          <w:color w:val="2C3E50"/>
        </w:rPr>
        <w:t>Safe contact details for the victim (code word; offer practice as meeting space)</w:t>
      </w:r>
    </w:p>
    <w:p w14:paraId="68E194ED" w14:textId="77777777" w:rsidR="002703C1" w:rsidRDefault="00000000">
      <w:pPr>
        <w:pStyle w:val="ListBullet"/>
        <w:spacing w:before="20" w:after="40"/>
        <w:ind w:left="432"/>
      </w:pPr>
      <w:r>
        <w:rPr>
          <w:rFonts w:ascii="Calibri" w:hAnsi="Calibri"/>
          <w:color w:val="2C3E50"/>
        </w:rPr>
        <w:t>Children and vulnerable adults in the household</w:t>
      </w:r>
    </w:p>
    <w:p w14:paraId="311B2EAD" w14:textId="77777777" w:rsidR="002703C1" w:rsidRDefault="00000000">
      <w:pPr>
        <w:pStyle w:val="ListBullet"/>
        <w:spacing w:before="20" w:after="40"/>
        <w:ind w:left="432"/>
      </w:pPr>
      <w:r>
        <w:rPr>
          <w:rFonts w:ascii="Calibri" w:hAnsi="Calibri"/>
          <w:color w:val="2C3E50"/>
        </w:rPr>
        <w:t>Perpetrator details — name and DOB</w:t>
      </w:r>
    </w:p>
    <w:p w14:paraId="7ADA6FDF" w14:textId="77777777" w:rsidR="002703C1" w:rsidRDefault="00000000">
      <w:pPr>
        <w:pStyle w:val="ListBullet"/>
        <w:spacing w:before="20" w:after="40"/>
        <w:ind w:left="432"/>
      </w:pPr>
      <w:r>
        <w:rPr>
          <w:rFonts w:ascii="Calibri" w:hAnsi="Calibri"/>
          <w:color w:val="2C3E50"/>
        </w:rPr>
        <w:t>Nature of the abuse (physical, sexual, emotional, controlling/coercive); duration; frequency; escalating?</w:t>
      </w:r>
    </w:p>
    <w:p w14:paraId="2902B3BA" w14:textId="77777777" w:rsidR="002703C1" w:rsidRDefault="00000000">
      <w:pPr>
        <w:pStyle w:val="ListBullet"/>
        <w:spacing w:before="20" w:after="40"/>
        <w:ind w:left="432"/>
      </w:pPr>
      <w:r>
        <w:rPr>
          <w:rFonts w:ascii="Calibri" w:hAnsi="Calibri"/>
          <w:color w:val="2C3E50"/>
        </w:rPr>
        <w:t>Is the victim frightened? What help do they want?</w:t>
      </w:r>
    </w:p>
    <w:p w14:paraId="67B5A7D5" w14:textId="77777777" w:rsidR="002703C1" w:rsidRDefault="00000000">
      <w:pPr>
        <w:pStyle w:val="ListBullet"/>
        <w:spacing w:before="20" w:after="40"/>
        <w:ind w:left="432"/>
      </w:pPr>
      <w:r>
        <w:rPr>
          <w:rFonts w:ascii="Calibri" w:hAnsi="Calibri"/>
          <w:color w:val="2C3E50"/>
        </w:rPr>
        <w:t>Coercive control indicators (restriction of movement, finances, phone, family contact)</w:t>
      </w:r>
    </w:p>
    <w:p w14:paraId="3EF4783C" w14:textId="77777777" w:rsidR="002703C1" w:rsidRDefault="00000000">
      <w:pPr>
        <w:pStyle w:val="ListBullet"/>
        <w:spacing w:before="20" w:after="40"/>
        <w:ind w:left="432"/>
      </w:pPr>
      <w:r>
        <w:rPr>
          <w:rFonts w:ascii="Calibri" w:hAnsi="Calibri"/>
          <w:color w:val="2C3E50"/>
        </w:rPr>
        <w:t>Danger indicators: threats to kill, weapons, NFS, threats of revenge porn</w:t>
      </w:r>
    </w:p>
    <w:p w14:paraId="43B5782E" w14:textId="77777777" w:rsidR="002703C1" w:rsidRDefault="00000000">
      <w:pPr>
        <w:pStyle w:val="ListBullet"/>
        <w:spacing w:before="20" w:after="40"/>
        <w:ind w:left="432"/>
      </w:pPr>
      <w:r>
        <w:rPr>
          <w:rFonts w:ascii="Calibri" w:hAnsi="Calibri"/>
          <w:color w:val="2C3E50"/>
        </w:rPr>
        <w:t>Recent separation or stalking behaviours?</w:t>
      </w:r>
    </w:p>
    <w:p w14:paraId="23D04325" w14:textId="77777777" w:rsidR="002703C1" w:rsidRDefault="00000000">
      <w:pPr>
        <w:pStyle w:val="ListBullet"/>
        <w:spacing w:before="20" w:after="40"/>
        <w:ind w:left="432"/>
      </w:pPr>
      <w:r>
        <w:rPr>
          <w:rFonts w:ascii="Calibri" w:hAnsi="Calibri"/>
          <w:color w:val="2C3E50"/>
        </w:rPr>
        <w:t>Pregnancy or recent childbirth? (state EDD if known)</w:t>
      </w:r>
    </w:p>
    <w:p w14:paraId="07ACB265" w14:textId="77777777" w:rsidR="002703C1" w:rsidRDefault="00000000">
      <w:pPr>
        <w:pStyle w:val="ListBullet"/>
        <w:spacing w:before="20" w:after="40"/>
        <w:ind w:left="432"/>
      </w:pPr>
      <w:r>
        <w:rPr>
          <w:rFonts w:ascii="Calibri" w:hAnsi="Calibri"/>
          <w:color w:val="2C3E50"/>
        </w:rPr>
        <w:t>Substance misuse (victim and/or perpetrator)?</w:t>
      </w:r>
    </w:p>
    <w:p w14:paraId="074478E7" w14:textId="77777777" w:rsidR="002703C1" w:rsidRDefault="00000000">
      <w:pPr>
        <w:pStyle w:val="ListBullet"/>
        <w:spacing w:before="20" w:after="40"/>
        <w:ind w:left="432"/>
      </w:pPr>
      <w:r>
        <w:rPr>
          <w:rFonts w:ascii="Calibri" w:hAnsi="Calibri"/>
          <w:color w:val="2C3E50"/>
        </w:rPr>
        <w:t>Additional vulnerabilities: disability, learning difficulty, age, mental health, homelessness</w:t>
      </w:r>
    </w:p>
    <w:p w14:paraId="68DEEFD6" w14:textId="77777777" w:rsidR="002703C1" w:rsidRDefault="00000000">
      <w:pPr>
        <w:pStyle w:val="ListBullet"/>
        <w:spacing w:before="20" w:after="40"/>
        <w:ind w:left="432"/>
      </w:pPr>
      <w:r>
        <w:rPr>
          <w:rFonts w:ascii="Calibri" w:hAnsi="Calibri"/>
          <w:color w:val="2C3E50"/>
        </w:rPr>
        <w:t>Other agencies involved? Has victim told anyone else?</w:t>
      </w:r>
    </w:p>
    <w:p w14:paraId="4BA3CE3E" w14:textId="77777777" w:rsidR="002703C1" w:rsidRDefault="00000000">
      <w:pPr>
        <w:pStyle w:val="ListBullet"/>
        <w:spacing w:before="20" w:after="40"/>
        <w:ind w:left="432"/>
      </w:pPr>
      <w:r>
        <w:rPr>
          <w:rFonts w:ascii="Calibri" w:hAnsi="Calibri"/>
          <w:color w:val="2C3E50"/>
        </w:rPr>
        <w:t>Consent to MARAC referral? (state if not obtained and why)</w:t>
      </w:r>
    </w:p>
    <w:p w14:paraId="662BF0C5" w14:textId="77777777" w:rsidR="002703C1" w:rsidRDefault="00000000">
      <w:pPr>
        <w:pStyle w:val="ListBullet"/>
        <w:spacing w:before="20" w:after="40"/>
        <w:ind w:left="432"/>
      </w:pPr>
      <w:r>
        <w:rPr>
          <w:rFonts w:ascii="Calibri" w:hAnsi="Calibri"/>
          <w:color w:val="2C3E50"/>
        </w:rPr>
        <w:t>DASH checklist completed and attached with clinical narrative</w:t>
      </w:r>
    </w:p>
    <w:p w14:paraId="03E3BD93" w14:textId="77777777" w:rsidR="00811640" w:rsidRDefault="00811640">
      <w:pPr>
        <w:rPr>
          <w:rFonts w:ascii="Calibri" w:hAnsi="Calibri"/>
          <w:b/>
          <w:color w:val="2E86AB"/>
          <w:sz w:val="24"/>
        </w:rPr>
      </w:pPr>
      <w:r>
        <w:rPr>
          <w:rFonts w:ascii="Calibri" w:hAnsi="Calibri"/>
          <w:b/>
          <w:color w:val="2E86AB"/>
          <w:sz w:val="24"/>
        </w:rPr>
        <w:br w:type="page"/>
      </w:r>
    </w:p>
    <w:p w14:paraId="55039514" w14:textId="77777777" w:rsidR="002703C1" w:rsidRDefault="00000000">
      <w:pPr>
        <w:spacing w:before="240" w:after="120"/>
      </w:pPr>
      <w:r>
        <w:rPr>
          <w:rFonts w:ascii="Calibri" w:hAnsi="Calibri"/>
          <w:b/>
          <w:color w:val="1A3A5C"/>
          <w:sz w:val="32"/>
        </w:rPr>
        <w:lastRenderedPageBreak/>
        <w:t>9. Information Sharing — Legal Framework</w:t>
      </w:r>
    </w:p>
    <w:tbl>
      <w:tblPr>
        <w:tblStyle w:val="TableGrid"/>
        <w:tblW w:w="0" w:type="auto"/>
        <w:jc w:val="center"/>
        <w:tblLook w:val="04A0" w:firstRow="1" w:lastRow="0" w:firstColumn="1" w:lastColumn="0" w:noHBand="0" w:noVBand="1"/>
      </w:tblPr>
      <w:tblGrid>
        <w:gridCol w:w="4873"/>
        <w:gridCol w:w="4873"/>
      </w:tblGrid>
      <w:tr w:rsidR="002703C1" w14:paraId="69D3CACA" w14:textId="77777777">
        <w:trPr>
          <w:jc w:val="center"/>
        </w:trPr>
        <w:tc>
          <w:tcPr>
            <w:tcW w:w="4873" w:type="dxa"/>
            <w:shd w:val="clear" w:color="auto" w:fill="1A3A5C"/>
          </w:tcPr>
          <w:p w14:paraId="057AF790" w14:textId="77777777" w:rsidR="002703C1" w:rsidRDefault="00000000">
            <w:pPr>
              <w:jc w:val="center"/>
            </w:pPr>
            <w:r>
              <w:rPr>
                <w:rFonts w:ascii="Calibri" w:hAnsi="Calibri"/>
                <w:b/>
                <w:color w:val="FFFFFF"/>
                <w:sz w:val="21"/>
              </w:rPr>
              <w:t>Legal Authority</w:t>
            </w:r>
          </w:p>
        </w:tc>
        <w:tc>
          <w:tcPr>
            <w:tcW w:w="4873" w:type="dxa"/>
            <w:shd w:val="clear" w:color="auto" w:fill="1A3A5C"/>
          </w:tcPr>
          <w:p w14:paraId="5977F3E0" w14:textId="77777777" w:rsidR="002703C1" w:rsidRDefault="00000000">
            <w:pPr>
              <w:jc w:val="center"/>
            </w:pPr>
            <w:r>
              <w:rPr>
                <w:rFonts w:ascii="Calibri" w:hAnsi="Calibri"/>
                <w:b/>
                <w:color w:val="FFFFFF"/>
                <w:sz w:val="21"/>
              </w:rPr>
              <w:t>Basis for Sharing Without Consent</w:t>
            </w:r>
          </w:p>
        </w:tc>
      </w:tr>
      <w:tr w:rsidR="002703C1" w14:paraId="7BA67141" w14:textId="77777777">
        <w:trPr>
          <w:jc w:val="center"/>
        </w:trPr>
        <w:tc>
          <w:tcPr>
            <w:tcW w:w="4873" w:type="dxa"/>
            <w:shd w:val="clear" w:color="auto" w:fill="EBF5FB"/>
          </w:tcPr>
          <w:p w14:paraId="7D178F3B" w14:textId="77777777" w:rsidR="002703C1" w:rsidRDefault="00000000">
            <w:r>
              <w:rPr>
                <w:rFonts w:ascii="Calibri" w:hAnsi="Calibri"/>
                <w:sz w:val="20"/>
              </w:rPr>
              <w:t>Crime and Disorder Act 1998</w:t>
            </w:r>
          </w:p>
        </w:tc>
        <w:tc>
          <w:tcPr>
            <w:tcW w:w="4873" w:type="dxa"/>
            <w:shd w:val="clear" w:color="auto" w:fill="EBF5FB"/>
          </w:tcPr>
          <w:p w14:paraId="0BDEC133" w14:textId="77777777" w:rsidR="002703C1" w:rsidRDefault="00000000">
            <w:r>
              <w:rPr>
                <w:rFonts w:ascii="Calibri" w:hAnsi="Calibri"/>
                <w:sz w:val="20"/>
              </w:rPr>
              <w:t>Prevention and detection of crime</w:t>
            </w:r>
          </w:p>
        </w:tc>
      </w:tr>
      <w:tr w:rsidR="002703C1" w14:paraId="22C1A27C" w14:textId="77777777">
        <w:trPr>
          <w:jc w:val="center"/>
        </w:trPr>
        <w:tc>
          <w:tcPr>
            <w:tcW w:w="4873" w:type="dxa"/>
            <w:shd w:val="clear" w:color="auto" w:fill="FFFFFF"/>
          </w:tcPr>
          <w:p w14:paraId="3B53BF81" w14:textId="77777777" w:rsidR="002703C1" w:rsidRDefault="00000000">
            <w:r>
              <w:rPr>
                <w:rFonts w:ascii="Calibri" w:hAnsi="Calibri"/>
                <w:sz w:val="20"/>
              </w:rPr>
              <w:t>Data Protection Act / UK GDPR</w:t>
            </w:r>
          </w:p>
        </w:tc>
        <w:tc>
          <w:tcPr>
            <w:tcW w:w="4873" w:type="dxa"/>
            <w:shd w:val="clear" w:color="auto" w:fill="FFFFFF"/>
          </w:tcPr>
          <w:p w14:paraId="16E67921" w14:textId="77777777" w:rsidR="002703C1" w:rsidRDefault="00000000">
            <w:r>
              <w:rPr>
                <w:rFonts w:ascii="Calibri" w:hAnsi="Calibri"/>
                <w:sz w:val="20"/>
              </w:rPr>
              <w:t>Vital interests; public task</w:t>
            </w:r>
          </w:p>
        </w:tc>
      </w:tr>
      <w:tr w:rsidR="002703C1" w14:paraId="099CBDA0" w14:textId="77777777">
        <w:trPr>
          <w:jc w:val="center"/>
        </w:trPr>
        <w:tc>
          <w:tcPr>
            <w:tcW w:w="4873" w:type="dxa"/>
            <w:shd w:val="clear" w:color="auto" w:fill="EBF5FB"/>
          </w:tcPr>
          <w:p w14:paraId="79832B10" w14:textId="77777777" w:rsidR="002703C1" w:rsidRDefault="00000000">
            <w:r>
              <w:rPr>
                <w:rFonts w:ascii="Calibri" w:hAnsi="Calibri"/>
                <w:sz w:val="20"/>
              </w:rPr>
              <w:t>Human Rights Act Arts 2 &amp; 3</w:t>
            </w:r>
          </w:p>
        </w:tc>
        <w:tc>
          <w:tcPr>
            <w:tcW w:w="4873" w:type="dxa"/>
            <w:shd w:val="clear" w:color="auto" w:fill="EBF5FB"/>
          </w:tcPr>
          <w:p w14:paraId="3817F19C" w14:textId="77777777" w:rsidR="002703C1" w:rsidRDefault="00000000">
            <w:r>
              <w:rPr>
                <w:rFonts w:ascii="Calibri" w:hAnsi="Calibri"/>
                <w:sz w:val="20"/>
              </w:rPr>
              <w:t>Right to life; freedom from torture</w:t>
            </w:r>
          </w:p>
        </w:tc>
      </w:tr>
      <w:tr w:rsidR="002703C1" w14:paraId="63BB1E64" w14:textId="77777777">
        <w:trPr>
          <w:jc w:val="center"/>
        </w:trPr>
        <w:tc>
          <w:tcPr>
            <w:tcW w:w="4873" w:type="dxa"/>
            <w:shd w:val="clear" w:color="auto" w:fill="FFFFFF"/>
          </w:tcPr>
          <w:p w14:paraId="5D234F55" w14:textId="77777777" w:rsidR="002703C1" w:rsidRDefault="00000000">
            <w:r>
              <w:rPr>
                <w:rFonts w:ascii="Calibri" w:hAnsi="Calibri"/>
                <w:sz w:val="20"/>
              </w:rPr>
              <w:t>Care Act 2014</w:t>
            </w:r>
          </w:p>
        </w:tc>
        <w:tc>
          <w:tcPr>
            <w:tcW w:w="4873" w:type="dxa"/>
            <w:shd w:val="clear" w:color="auto" w:fill="FFFFFF"/>
          </w:tcPr>
          <w:p w14:paraId="2EA7502A" w14:textId="77777777" w:rsidR="002703C1" w:rsidRDefault="00000000">
            <w:r>
              <w:rPr>
                <w:rFonts w:ascii="Calibri" w:hAnsi="Calibri"/>
                <w:sz w:val="20"/>
              </w:rPr>
              <w:t>Prevention of abuse and neglect</w:t>
            </w:r>
          </w:p>
        </w:tc>
      </w:tr>
      <w:tr w:rsidR="002703C1" w14:paraId="1298DFA7" w14:textId="77777777">
        <w:trPr>
          <w:jc w:val="center"/>
        </w:trPr>
        <w:tc>
          <w:tcPr>
            <w:tcW w:w="4873" w:type="dxa"/>
            <w:shd w:val="clear" w:color="auto" w:fill="EBF5FB"/>
          </w:tcPr>
          <w:p w14:paraId="1C89D8F1" w14:textId="77777777" w:rsidR="002703C1" w:rsidRDefault="00000000">
            <w:r>
              <w:rPr>
                <w:rFonts w:ascii="Calibri" w:hAnsi="Calibri"/>
                <w:sz w:val="20"/>
              </w:rPr>
              <w:t>Mental Capacity Act 2005</w:t>
            </w:r>
          </w:p>
        </w:tc>
        <w:tc>
          <w:tcPr>
            <w:tcW w:w="4873" w:type="dxa"/>
            <w:shd w:val="clear" w:color="auto" w:fill="EBF5FB"/>
          </w:tcPr>
          <w:p w14:paraId="6F545DA1" w14:textId="77777777" w:rsidR="002703C1" w:rsidRDefault="00000000">
            <w:r>
              <w:rPr>
                <w:rFonts w:ascii="Calibri" w:hAnsi="Calibri"/>
                <w:sz w:val="20"/>
              </w:rPr>
              <w:t>Person lacks capacity to consent</w:t>
            </w:r>
          </w:p>
        </w:tc>
      </w:tr>
      <w:tr w:rsidR="002703C1" w14:paraId="46F382C7" w14:textId="77777777">
        <w:trPr>
          <w:jc w:val="center"/>
        </w:trPr>
        <w:tc>
          <w:tcPr>
            <w:tcW w:w="4873" w:type="dxa"/>
            <w:shd w:val="clear" w:color="auto" w:fill="FFFFFF"/>
          </w:tcPr>
          <w:p w14:paraId="0DC8CE61" w14:textId="77777777" w:rsidR="002703C1" w:rsidRDefault="00000000">
            <w:r>
              <w:rPr>
                <w:rFonts w:ascii="Calibri" w:hAnsi="Calibri"/>
                <w:sz w:val="20"/>
              </w:rPr>
              <w:t>Common law</w:t>
            </w:r>
          </w:p>
        </w:tc>
        <w:tc>
          <w:tcPr>
            <w:tcW w:w="4873" w:type="dxa"/>
            <w:shd w:val="clear" w:color="auto" w:fill="FFFFFF"/>
          </w:tcPr>
          <w:p w14:paraId="6BA2285E" w14:textId="77777777" w:rsidR="002703C1" w:rsidRDefault="00000000">
            <w:r>
              <w:rPr>
                <w:rFonts w:ascii="Calibri" w:hAnsi="Calibri"/>
                <w:sz w:val="20"/>
              </w:rPr>
              <w:t>Overriding public interest</w:t>
            </w:r>
          </w:p>
        </w:tc>
      </w:tr>
      <w:tr w:rsidR="002703C1" w14:paraId="7966C2A1" w14:textId="77777777">
        <w:trPr>
          <w:jc w:val="center"/>
        </w:trPr>
        <w:tc>
          <w:tcPr>
            <w:tcW w:w="4873" w:type="dxa"/>
            <w:shd w:val="clear" w:color="auto" w:fill="EBF5FB"/>
          </w:tcPr>
          <w:p w14:paraId="06ECE40A" w14:textId="77777777" w:rsidR="002703C1" w:rsidRDefault="00000000">
            <w:r>
              <w:rPr>
                <w:rFonts w:ascii="Calibri" w:hAnsi="Calibri"/>
                <w:sz w:val="20"/>
              </w:rPr>
              <w:t>Children Act 1989</w:t>
            </w:r>
          </w:p>
        </w:tc>
        <w:tc>
          <w:tcPr>
            <w:tcW w:w="4873" w:type="dxa"/>
            <w:shd w:val="clear" w:color="auto" w:fill="EBF5FB"/>
          </w:tcPr>
          <w:p w14:paraId="48F4FBA5" w14:textId="77777777" w:rsidR="002703C1" w:rsidRDefault="00000000">
            <w:r>
              <w:rPr>
                <w:rFonts w:ascii="Calibri" w:hAnsi="Calibri"/>
                <w:sz w:val="20"/>
              </w:rPr>
              <w:t>Child protection</w:t>
            </w:r>
          </w:p>
        </w:tc>
      </w:tr>
    </w:tbl>
    <w:p w14:paraId="76458495" w14:textId="77777777" w:rsidR="002703C1" w:rsidRDefault="002703C1"/>
    <w:p w14:paraId="63FC501F" w14:textId="77777777" w:rsidR="002703C1" w:rsidRDefault="00000000">
      <w:pPr>
        <w:spacing w:before="40" w:after="80"/>
      </w:pPr>
      <w:r>
        <w:rPr>
          <w:rFonts w:ascii="Calibri" w:hAnsi="Calibri"/>
          <w:i/>
          <w:color w:val="5D6D7E"/>
        </w:rPr>
        <w:t>Caldicott Principle 7: The duty to SHARE information can be as important as the duty to protect patient confidentiality. At MARAC, all agencies are signed up to an Information Sharing Protocol (ISP). The ICB is already signed up on behalf of Bradford GP practices.</w:t>
      </w:r>
    </w:p>
    <w:p w14:paraId="619AA92D" w14:textId="77777777" w:rsidR="002703C1" w:rsidRDefault="00000000">
      <w:pPr>
        <w:spacing w:before="240" w:after="120"/>
      </w:pPr>
      <w:r>
        <w:rPr>
          <w:rFonts w:ascii="Calibri" w:hAnsi="Calibri"/>
          <w:b/>
          <w:color w:val="1A3A5C"/>
          <w:sz w:val="32"/>
        </w:rPr>
        <w:t>10. Local and National Support Services</w:t>
      </w:r>
    </w:p>
    <w:p w14:paraId="0558FD1E" w14:textId="77777777" w:rsidR="002703C1" w:rsidRDefault="00000000">
      <w:pPr>
        <w:pStyle w:val="ListBullet"/>
        <w:spacing w:before="20" w:after="40"/>
        <w:ind w:left="432"/>
      </w:pPr>
      <w:r>
        <w:rPr>
          <w:rFonts w:ascii="Calibri" w:hAnsi="Calibri"/>
          <w:b/>
          <w:color w:val="2C3E50"/>
        </w:rPr>
        <w:t xml:space="preserve">National DA Helpline: </w:t>
      </w:r>
      <w:r>
        <w:rPr>
          <w:rFonts w:ascii="Calibri" w:hAnsi="Calibri"/>
          <w:color w:val="2C3E50"/>
        </w:rPr>
        <w:t>0808 2000 247 (free, 24/7, Women's Aid / Refuge)</w:t>
      </w:r>
    </w:p>
    <w:p w14:paraId="41F30C3D" w14:textId="77777777" w:rsidR="002703C1" w:rsidRDefault="00000000">
      <w:pPr>
        <w:pStyle w:val="ListBullet"/>
        <w:spacing w:before="20" w:after="40"/>
        <w:ind w:left="432"/>
      </w:pPr>
      <w:r>
        <w:rPr>
          <w:rFonts w:ascii="Calibri" w:hAnsi="Calibri"/>
          <w:b/>
          <w:color w:val="2C3E50"/>
        </w:rPr>
        <w:t xml:space="preserve">Men's Advice Line: </w:t>
      </w:r>
      <w:r>
        <w:rPr>
          <w:rFonts w:ascii="Calibri" w:hAnsi="Calibri"/>
          <w:color w:val="2C3E50"/>
        </w:rPr>
        <w:t>0808 801 0327</w:t>
      </w:r>
    </w:p>
    <w:p w14:paraId="24295DAC" w14:textId="77777777" w:rsidR="002703C1" w:rsidRDefault="00000000">
      <w:pPr>
        <w:pStyle w:val="ListBullet"/>
        <w:spacing w:before="20" w:after="40"/>
        <w:ind w:left="432"/>
      </w:pPr>
      <w:r>
        <w:rPr>
          <w:rFonts w:ascii="Calibri" w:hAnsi="Calibri"/>
          <w:b/>
          <w:color w:val="2C3E50"/>
        </w:rPr>
        <w:t xml:space="preserve">National LGBT+ DA Helpline: </w:t>
      </w:r>
      <w:r>
        <w:rPr>
          <w:rFonts w:ascii="Calibri" w:hAnsi="Calibri"/>
          <w:color w:val="2C3E50"/>
        </w:rPr>
        <w:t>0800 999 5428</w:t>
      </w:r>
    </w:p>
    <w:p w14:paraId="61FB5D55" w14:textId="77777777" w:rsidR="002703C1" w:rsidRDefault="00000000">
      <w:pPr>
        <w:pStyle w:val="ListBullet"/>
        <w:spacing w:before="20" w:after="40"/>
        <w:ind w:left="432"/>
      </w:pPr>
      <w:r>
        <w:rPr>
          <w:rFonts w:ascii="Calibri" w:hAnsi="Calibri"/>
          <w:b/>
          <w:color w:val="2C3E50"/>
        </w:rPr>
        <w:t xml:space="preserve">Bradford DA Services: </w:t>
      </w:r>
      <w:r>
        <w:rPr>
          <w:rFonts w:ascii="Calibri" w:hAnsi="Calibri"/>
          <w:color w:val="2C3E50"/>
        </w:rPr>
        <w:t>GP Assist &gt; Safeguarding &gt; Domestic Abuse (SystmOne)</w:t>
      </w:r>
    </w:p>
    <w:p w14:paraId="03387B85" w14:textId="77777777" w:rsidR="002703C1" w:rsidRDefault="00000000">
      <w:pPr>
        <w:pStyle w:val="ListBullet"/>
        <w:spacing w:before="20" w:after="40"/>
        <w:ind w:left="432"/>
      </w:pPr>
      <w:r>
        <w:rPr>
          <w:rFonts w:ascii="Calibri" w:hAnsi="Calibri"/>
          <w:b/>
          <w:color w:val="2C3E50"/>
        </w:rPr>
        <w:t xml:space="preserve">Bradford Safeguarding: </w:t>
      </w:r>
      <w:r>
        <w:rPr>
          <w:rFonts w:ascii="Calibri" w:hAnsi="Calibri"/>
          <w:color w:val="2C3E50"/>
        </w:rPr>
        <w:t>01274 431077 (office hours) / 01274 431010 (out of hours)</w:t>
      </w:r>
    </w:p>
    <w:p w14:paraId="28E7578A" w14:textId="77777777" w:rsidR="002703C1" w:rsidRDefault="00000000">
      <w:pPr>
        <w:pStyle w:val="ListBullet"/>
        <w:spacing w:before="20" w:after="40"/>
        <w:ind w:left="432"/>
      </w:pPr>
      <w:r>
        <w:rPr>
          <w:rFonts w:ascii="Calibri" w:hAnsi="Calibri"/>
          <w:b/>
          <w:color w:val="2C3E50"/>
        </w:rPr>
        <w:t xml:space="preserve">BDCHCP Safeguarding Team: </w:t>
      </w:r>
      <w:r>
        <w:rPr>
          <w:rFonts w:ascii="Calibri" w:hAnsi="Calibri"/>
          <w:color w:val="2C3E50"/>
        </w:rPr>
        <w:t>01274 237645</w:t>
      </w:r>
    </w:p>
    <w:p w14:paraId="4E1601C8" w14:textId="77777777" w:rsidR="002703C1" w:rsidRDefault="00000000">
      <w:pPr>
        <w:pStyle w:val="ListBullet"/>
        <w:spacing w:before="20" w:after="40"/>
        <w:ind w:left="432"/>
      </w:pPr>
      <w:r>
        <w:rPr>
          <w:rFonts w:ascii="Calibri" w:hAnsi="Calibri"/>
          <w:b/>
          <w:color w:val="2C3E50"/>
        </w:rPr>
        <w:t xml:space="preserve">Emergency: </w:t>
      </w:r>
      <w:r>
        <w:rPr>
          <w:rFonts w:ascii="Calibri" w:hAnsi="Calibri"/>
          <w:color w:val="2C3E50"/>
        </w:rPr>
        <w:t>999 if immediate risk to life</w:t>
      </w:r>
    </w:p>
    <w:p w14:paraId="3D4F2C6C" w14:textId="77777777" w:rsidR="002703C1" w:rsidRDefault="00000000">
      <w:pPr>
        <w:pStyle w:val="ListBullet"/>
        <w:spacing w:before="20" w:after="40"/>
        <w:ind w:left="432"/>
      </w:pPr>
      <w:r>
        <w:rPr>
          <w:rFonts w:ascii="Calibri" w:hAnsi="Calibri"/>
          <w:b/>
          <w:color w:val="2C3E50"/>
        </w:rPr>
        <w:t xml:space="preserve">Police (non-urgent): </w:t>
      </w:r>
      <w:r>
        <w:rPr>
          <w:rFonts w:ascii="Calibri" w:hAnsi="Calibri"/>
          <w:color w:val="2C3E50"/>
        </w:rPr>
        <w:t>101</w:t>
      </w:r>
    </w:p>
    <w:p w14:paraId="2168121D" w14:textId="77777777" w:rsidR="002703C1" w:rsidRDefault="002703C1"/>
    <w:tbl>
      <w:tblPr>
        <w:tblW w:w="0" w:type="auto"/>
        <w:jc w:val="center"/>
        <w:tblLook w:val="04A0" w:firstRow="1" w:lastRow="0" w:firstColumn="1" w:lastColumn="0" w:noHBand="0" w:noVBand="1"/>
      </w:tblPr>
      <w:tblGrid>
        <w:gridCol w:w="9746"/>
      </w:tblGrid>
      <w:tr w:rsidR="002703C1" w14:paraId="784888C4" w14:textId="77777777">
        <w:trPr>
          <w:jc w:val="center"/>
        </w:trPr>
        <w:tc>
          <w:tcPr>
            <w:tcW w:w="9746" w:type="dxa"/>
            <w:shd w:val="clear" w:color="auto" w:fill="FDEBD0"/>
          </w:tcPr>
          <w:p w14:paraId="308BA513" w14:textId="77777777" w:rsidR="002703C1" w:rsidRDefault="00000000">
            <w:pPr>
              <w:spacing w:before="120" w:after="120"/>
              <w:jc w:val="center"/>
            </w:pPr>
            <w:r>
              <w:rPr>
                <w:rFonts w:ascii="Calibri" w:hAnsi="Calibri"/>
                <w:b/>
                <w:color w:val="7D6008"/>
                <w:sz w:val="20"/>
              </w:rPr>
              <w:t>⚠ Always double check this advice and drug doses with the latest NICE/BNF guidance. This document is for educational purposes only.</w:t>
            </w:r>
          </w:p>
        </w:tc>
      </w:tr>
    </w:tbl>
    <w:p w14:paraId="11B3B041" w14:textId="77777777" w:rsidR="00474836" w:rsidRDefault="00474836"/>
    <w:sectPr w:rsidR="00474836" w:rsidSect="00034616">
      <w:footerReference w:type="default" r:id="rId9"/>
      <w:pgSz w:w="12240" w:h="15840"/>
      <w:pgMar w:top="1020" w:right="1247" w:bottom="1020" w:left="124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9169B" w14:textId="77777777" w:rsidR="00474836" w:rsidRDefault="00474836">
      <w:pPr>
        <w:spacing w:after="0" w:line="240" w:lineRule="auto"/>
      </w:pPr>
      <w:r>
        <w:separator/>
      </w:r>
    </w:p>
  </w:endnote>
  <w:endnote w:type="continuationSeparator" w:id="0">
    <w:p w14:paraId="1D486691" w14:textId="77777777" w:rsidR="00474836" w:rsidRDefault="00474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64130" w14:textId="77777777" w:rsidR="002703C1" w:rsidRDefault="00000000">
    <w:pPr>
      <w:pStyle w:val="Footer"/>
      <w:jc w:val="center"/>
    </w:pPr>
    <w:r>
      <w:rPr>
        <w:rFonts w:ascii="Calibri" w:hAnsi="Calibri"/>
        <w:i/>
        <w:color w:val="7F8C8D"/>
        <w:sz w:val="16"/>
      </w:rPr>
      <w:t>A free resource provided by www.bradfordvts.co.uk, Dr Ramesh Mehay, original source July 2022,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D9AD3" w14:textId="77777777" w:rsidR="00474836" w:rsidRDefault="00474836">
      <w:pPr>
        <w:spacing w:after="0" w:line="240" w:lineRule="auto"/>
      </w:pPr>
      <w:r>
        <w:separator/>
      </w:r>
    </w:p>
  </w:footnote>
  <w:footnote w:type="continuationSeparator" w:id="0">
    <w:p w14:paraId="502D62E9" w14:textId="77777777" w:rsidR="00474836" w:rsidRDefault="004748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74425801">
    <w:abstractNumId w:val="8"/>
  </w:num>
  <w:num w:numId="2" w16cid:durableId="2108304195">
    <w:abstractNumId w:val="6"/>
  </w:num>
  <w:num w:numId="3" w16cid:durableId="758644926">
    <w:abstractNumId w:val="5"/>
  </w:num>
  <w:num w:numId="4" w16cid:durableId="450907192">
    <w:abstractNumId w:val="4"/>
  </w:num>
  <w:num w:numId="5" w16cid:durableId="1279797392">
    <w:abstractNumId w:val="7"/>
  </w:num>
  <w:num w:numId="6" w16cid:durableId="989482147">
    <w:abstractNumId w:val="3"/>
  </w:num>
  <w:num w:numId="7" w16cid:durableId="9189736">
    <w:abstractNumId w:val="2"/>
  </w:num>
  <w:num w:numId="8" w16cid:durableId="1538352156">
    <w:abstractNumId w:val="1"/>
  </w:num>
  <w:num w:numId="9" w16cid:durableId="2603776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703C1"/>
    <w:rsid w:val="0029639D"/>
    <w:rsid w:val="00326F90"/>
    <w:rsid w:val="00474836"/>
    <w:rsid w:val="00630034"/>
    <w:rsid w:val="0081164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43A578"/>
  <w14:defaultImageDpi w14:val="300"/>
  <w15:docId w15:val="{90BC99BE-7CCC-40DD-B065-48E911A77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1497</Words>
  <Characters>8537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10014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2</cp:revision>
  <dcterms:created xsi:type="dcterms:W3CDTF">2013-12-23T23:15:00Z</dcterms:created>
  <dcterms:modified xsi:type="dcterms:W3CDTF">2026-05-26T12:01:00Z</dcterms:modified>
  <cp:category/>
</cp:coreProperties>
</file>