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8453"/>
      </w:tblGrid>
      <w:tr w:rsidR="002771B9" w14:paraId="1ED27959" w14:textId="77777777">
        <w:tc>
          <w:tcPr>
            <w:tcW w:w="8453" w:type="dxa"/>
            <w:shd w:val="clear" w:color="auto" w:fill="E0651F"/>
          </w:tcPr>
          <w:p w14:paraId="192C68E6" w14:textId="77777777" w:rsidR="002771B9" w:rsidRDefault="00000000">
            <w:pPr>
              <w:jc w:val="center"/>
            </w:pPr>
            <w:r>
              <w:rPr>
                <w:b/>
                <w:color w:val="FFFFFF"/>
              </w:rPr>
              <w:t>BRADFORD VTS TEACHING AIDS</w:t>
            </w:r>
          </w:p>
          <w:p w14:paraId="57C0F653" w14:textId="77777777" w:rsidR="002771B9" w:rsidRDefault="00000000">
            <w:pPr>
              <w:jc w:val="center"/>
            </w:pPr>
            <w:r>
              <w:rPr>
                <w:b/>
                <w:color w:val="FFFFFF"/>
                <w:sz w:val="52"/>
              </w:rPr>
              <w:t>Child Safeguarding: Practitioner Learning Events &amp; Case Scenarios</w:t>
            </w:r>
          </w:p>
          <w:p w14:paraId="20B6C5E4" w14:textId="77777777" w:rsidR="002771B9" w:rsidRDefault="00000000">
            <w:pPr>
              <w:jc w:val="center"/>
            </w:pPr>
            <w:r>
              <w:rPr>
                <w:i/>
                <w:color w:val="FFFFFF"/>
                <w:sz w:val="24"/>
              </w:rPr>
              <w:t>Educational Resource · Bradford VTS · May 2026</w:t>
            </w:r>
          </w:p>
        </w:tc>
      </w:tr>
    </w:tbl>
    <w:p w14:paraId="0B8603AE" w14:textId="77777777" w:rsidR="002771B9" w:rsidRDefault="002771B9"/>
    <w:p w14:paraId="2F47F477" w14:textId="77777777" w:rsidR="002771B9" w:rsidRDefault="00000000">
      <w:r>
        <w:t>This resource supports GP trainers and educators running Practitioner Learning Events (PLEs) and case-based discussions on child safeguarding. All scenarios are fictional and created for educational purposes. Clinical guidance is updated to NICE CG89 (December 2025) and Working Together to Safeguard Children 2026.</w:t>
      </w:r>
    </w:p>
    <w:p w14:paraId="767A534B" w14:textId="77777777" w:rsidR="002771B9" w:rsidRDefault="00000000">
      <w:pPr>
        <w:pStyle w:val="Heading1"/>
      </w:pPr>
      <w:r>
        <w:rPr>
          <w:color w:val="1E3C78"/>
        </w:rPr>
        <w:t>What is a Practitioner Learning Event (PLE)?</w:t>
      </w:r>
    </w:p>
    <w:p w14:paraId="4DDA4AD3" w14:textId="77777777" w:rsidR="002771B9" w:rsidRDefault="00000000">
      <w:r>
        <w:t>A Practitioner Learning Event is a learning and improvement opportunity recommended as part of the safeguarding children review process. PLEs are designed to:</w:t>
      </w:r>
    </w:p>
    <w:p w14:paraId="4A754DC1" w14:textId="77777777" w:rsidR="002771B9" w:rsidRDefault="00000000">
      <w:pPr>
        <w:pStyle w:val="ListBullet"/>
      </w:pPr>
      <w:r>
        <w:t>Promote learning from cases where there are themes of concern or missed opportunities in safeguarding practice.</w:t>
      </w:r>
    </w:p>
    <w:p w14:paraId="1134BB6F" w14:textId="77777777" w:rsidR="002771B9" w:rsidRDefault="00000000">
      <w:pPr>
        <w:pStyle w:val="ListBullet"/>
      </w:pPr>
      <w:r>
        <w:t>Be non-blaming and focused on systems improvement rather than individual fault.</w:t>
      </w:r>
    </w:p>
    <w:p w14:paraId="2F074E64" w14:textId="77777777" w:rsidR="002771B9" w:rsidRDefault="00000000">
      <w:pPr>
        <w:pStyle w:val="ListBullet"/>
      </w:pPr>
      <w:r>
        <w:t>Encourage open reflective discussion across a multi-professional group.</w:t>
      </w:r>
    </w:p>
    <w:p w14:paraId="46572D97" w14:textId="77777777" w:rsidR="002771B9" w:rsidRDefault="00000000">
      <w:pPr>
        <w:pStyle w:val="ListBullet"/>
      </w:pPr>
      <w:r>
        <w:t>Generate actionable recommendations to improve safeguarding in general practice.</w:t>
      </w:r>
    </w:p>
    <w:p w14:paraId="197CDCD7" w14:textId="77777777" w:rsidR="002771B9" w:rsidRDefault="002771B9"/>
    <w:tbl>
      <w:tblPr>
        <w:tblStyle w:val="TableGrid"/>
        <w:tblW w:w="0" w:type="auto"/>
        <w:tblLook w:val="04A0" w:firstRow="1" w:lastRow="0" w:firstColumn="1" w:lastColumn="0" w:noHBand="0" w:noVBand="1"/>
      </w:tblPr>
      <w:tblGrid>
        <w:gridCol w:w="8453"/>
      </w:tblGrid>
      <w:tr w:rsidR="002771B9" w14:paraId="7A7DA44A" w14:textId="77777777">
        <w:tc>
          <w:tcPr>
            <w:tcW w:w="8453" w:type="dxa"/>
            <w:shd w:val="clear" w:color="auto" w:fill="E8F4FD"/>
          </w:tcPr>
          <w:p w14:paraId="6630D58E" w14:textId="77777777" w:rsidR="002771B9" w:rsidRDefault="00000000">
            <w:r>
              <w:t>📌 Format: PLEs are typically 2 hours in length, facilitated by a named/designated professional. Attendance should be documented for revalidation and Level 3 safeguarding training hours. Outcome summary should be submitted to your ICB Safeguarding Team.</w:t>
            </w:r>
          </w:p>
        </w:tc>
      </w:tr>
    </w:tbl>
    <w:p w14:paraId="4114A6D1" w14:textId="77777777" w:rsidR="002771B9" w:rsidRDefault="002771B9"/>
    <w:p w14:paraId="5050642F" w14:textId="77777777" w:rsidR="002771B9" w:rsidRDefault="00000000">
      <w:pPr>
        <w:pStyle w:val="Heading1"/>
      </w:pPr>
      <w:r>
        <w:rPr>
          <w:color w:val="1E3C78"/>
        </w:rPr>
        <w:t>How to Use These Scenarios</w:t>
      </w:r>
    </w:p>
    <w:p w14:paraId="37204B1F" w14:textId="77777777" w:rsidR="002771B9" w:rsidRDefault="00000000">
      <w:pPr>
        <w:pStyle w:val="ListBullet"/>
      </w:pPr>
      <w:r>
        <w:t>Read the scenario to the group or provide as pre-reading.</w:t>
      </w:r>
    </w:p>
    <w:p w14:paraId="6CEEBB40" w14:textId="77777777" w:rsidR="002771B9" w:rsidRDefault="00000000">
      <w:pPr>
        <w:pStyle w:val="ListBullet"/>
      </w:pPr>
      <w:r>
        <w:t>Allow 10–15 minutes for individual reflection before group discussion.</w:t>
      </w:r>
    </w:p>
    <w:p w14:paraId="1D928209" w14:textId="77777777" w:rsidR="002771B9" w:rsidRDefault="00000000">
      <w:pPr>
        <w:pStyle w:val="ListBullet"/>
      </w:pPr>
      <w:r>
        <w:t>Use the discussion questions to guide the conversation.</w:t>
      </w:r>
    </w:p>
    <w:p w14:paraId="18934972" w14:textId="77777777" w:rsidR="002771B9" w:rsidRDefault="00000000">
      <w:pPr>
        <w:pStyle w:val="ListBullet"/>
      </w:pPr>
      <w:r>
        <w:t>Consider the application of NICE CG89 (Dec 2025), Working Together 2026, GMC 0-18, and local safeguarding procedures.</w:t>
      </w:r>
    </w:p>
    <w:p w14:paraId="65755A67" w14:textId="77777777" w:rsidR="002771B9" w:rsidRDefault="00000000">
      <w:pPr>
        <w:pStyle w:val="ListBullet"/>
      </w:pPr>
      <w:r>
        <w:t>Focus on: what would you do next? What might you have done earlier? What systems changes would help?</w:t>
      </w:r>
    </w:p>
    <w:p w14:paraId="6219FFE7" w14:textId="77777777" w:rsidR="002771B9" w:rsidRDefault="002771B9"/>
    <w:p w14:paraId="4246F2F2" w14:textId="77777777" w:rsidR="00F6294A" w:rsidRDefault="00F6294A">
      <w:pPr>
        <w:rPr>
          <w:rFonts w:asciiTheme="majorHAnsi" w:eastAsiaTheme="majorEastAsia" w:hAnsiTheme="majorHAnsi" w:cstheme="majorBidi"/>
          <w:b/>
          <w:bCs/>
          <w:color w:val="1E3C78"/>
          <w:sz w:val="28"/>
          <w:szCs w:val="28"/>
        </w:rPr>
      </w:pPr>
      <w:r>
        <w:rPr>
          <w:color w:val="1E3C78"/>
        </w:rPr>
        <w:br w:type="page"/>
      </w:r>
    </w:p>
    <w:p w14:paraId="1A7B1CA2" w14:textId="4330CD76" w:rsidR="002771B9" w:rsidRDefault="00000000">
      <w:pPr>
        <w:pStyle w:val="Heading1"/>
      </w:pPr>
      <w:r>
        <w:rPr>
          <w:color w:val="1E3C78"/>
        </w:rPr>
        <w:lastRenderedPageBreak/>
        <w:t>Scenario 1: The Janet and John Family</w:t>
      </w:r>
    </w:p>
    <w:tbl>
      <w:tblPr>
        <w:tblStyle w:val="TableGrid"/>
        <w:tblW w:w="0" w:type="auto"/>
        <w:tblLook w:val="04A0" w:firstRow="1" w:lastRow="0" w:firstColumn="1" w:lastColumn="0" w:noHBand="0" w:noVBand="1"/>
      </w:tblPr>
      <w:tblGrid>
        <w:gridCol w:w="8453"/>
      </w:tblGrid>
      <w:tr w:rsidR="002771B9" w14:paraId="08DC2077" w14:textId="77777777">
        <w:tc>
          <w:tcPr>
            <w:tcW w:w="8453" w:type="dxa"/>
            <w:shd w:val="clear" w:color="auto" w:fill="E8F4FD"/>
          </w:tcPr>
          <w:p w14:paraId="000632EB" w14:textId="77777777" w:rsidR="002771B9" w:rsidRDefault="00000000">
            <w:r>
              <w:t>📋 Context: This scenario is adapted for educational use. All names, details, and locations are fictional. It covers themes of: physical abuse, non-accidental injury in a pre-mobile infant, multi-agency communication.</w:t>
            </w:r>
          </w:p>
        </w:tc>
      </w:tr>
    </w:tbl>
    <w:p w14:paraId="45ADF927" w14:textId="77777777" w:rsidR="00F6294A" w:rsidRPr="00F6294A" w:rsidRDefault="00F6294A">
      <w:pPr>
        <w:rPr>
          <w:sz w:val="2"/>
          <w:szCs w:val="2"/>
        </w:rPr>
      </w:pPr>
    </w:p>
    <w:p w14:paraId="558E4AF6" w14:textId="3D56CAC7" w:rsidR="002771B9" w:rsidRDefault="00000000">
      <w:r>
        <w:t>Janet (29) and John (31) have recently moved to a new area with their three children: Emily (4), Charlie (2), and baby Poppy (3 months). They have just registered at your GP practice.</w:t>
      </w:r>
      <w:r>
        <w:br/>
        <w:t xml:space="preserve">John presents </w:t>
      </w:r>
      <w:proofErr w:type="gramStart"/>
      <w:r>
        <w:t>to the practice with Poppy</w:t>
      </w:r>
      <w:proofErr w:type="gramEnd"/>
      <w:r>
        <w:t>, stating she has been "a bit off" and "crying a lot". He says she fell off the sofa this morning. On examination, you note a 2 cm bruise on Poppy's left cheek. Poppy is not independently mobile — she cannot yet crawl, bottom shuffle, or pull to stand.</w:t>
      </w:r>
    </w:p>
    <w:p w14:paraId="4EDE9BC1" w14:textId="77777777" w:rsidR="002771B9" w:rsidRDefault="00000000">
      <w:pPr>
        <w:pStyle w:val="Heading2"/>
      </w:pPr>
      <w:r>
        <w:rPr>
          <w:color w:val="1E3C78"/>
        </w:rPr>
        <w:t>Clinical Update — NICE CG89 December 2025</w:t>
      </w:r>
    </w:p>
    <w:tbl>
      <w:tblPr>
        <w:tblStyle w:val="TableGrid"/>
        <w:tblW w:w="0" w:type="auto"/>
        <w:tblLook w:val="04A0" w:firstRow="1" w:lastRow="0" w:firstColumn="1" w:lastColumn="0" w:noHBand="0" w:noVBand="1"/>
      </w:tblPr>
      <w:tblGrid>
        <w:gridCol w:w="8453"/>
      </w:tblGrid>
      <w:tr w:rsidR="002771B9" w14:paraId="169C08C6" w14:textId="77777777">
        <w:tc>
          <w:tcPr>
            <w:tcW w:w="8453" w:type="dxa"/>
            <w:shd w:val="clear" w:color="auto" w:fill="FFE4E4"/>
          </w:tcPr>
          <w:p w14:paraId="4D0A1387" w14:textId="77777777" w:rsidR="002771B9" w:rsidRDefault="00000000">
            <w:r>
              <w:t>🔴 NICE CG89 Key Point (December 2025): A child is NOT independently mobile unless they can do at least one of: crawl, bottom shuffle, pull to stand, stand unaided, cruise, climb, walk with or without support. Poppy CANNOT do any of these. Therefore: ANY bruise in Poppy is a red flag requiring immediate action — the "fell off the sofa" explanation is NOT consistent with a non-mobile infant sustaining a cheek bruise.</w:t>
            </w:r>
          </w:p>
        </w:tc>
      </w:tr>
    </w:tbl>
    <w:p w14:paraId="7B094887" w14:textId="77777777" w:rsidR="002771B9" w:rsidRDefault="002771B9"/>
    <w:p w14:paraId="2E305084" w14:textId="77777777" w:rsidR="002771B9" w:rsidRDefault="00000000">
      <w:pPr>
        <w:pStyle w:val="Heading2"/>
      </w:pPr>
      <w:r>
        <w:rPr>
          <w:color w:val="1E3C78"/>
        </w:rPr>
        <w:t>Discussion Questions</w:t>
      </w:r>
    </w:p>
    <w:p w14:paraId="0E8D99F8" w14:textId="77777777" w:rsidR="002771B9" w:rsidRDefault="00000000">
      <w:pPr>
        <w:pStyle w:val="ListNumber"/>
      </w:pPr>
      <w:r>
        <w:t>2. What is your immediate concern about Poppy? How does the December 2025 NICE CG89 update change or reinforce your assessment?</w:t>
      </w:r>
    </w:p>
    <w:p w14:paraId="6958738B" w14:textId="77777777" w:rsidR="002771B9" w:rsidRDefault="00000000">
      <w:pPr>
        <w:pStyle w:val="ListNumber"/>
      </w:pPr>
      <w:r>
        <w:t>3. John is the presenting carer — what are your thoughts about seeing Poppy alone? Who else in the family do you need to think about (siblings Emily and Charlie)?</w:t>
      </w:r>
    </w:p>
    <w:p w14:paraId="01557B09" w14:textId="77777777" w:rsidR="002771B9" w:rsidRDefault="00000000">
      <w:pPr>
        <w:pStyle w:val="ListNumber"/>
      </w:pPr>
      <w:r>
        <w:t>4. What would you say to John at this point? How do you balance professionalism, keeping the door open, and child safety?</w:t>
      </w:r>
    </w:p>
    <w:p w14:paraId="475DAC16" w14:textId="77777777" w:rsidR="002771B9" w:rsidRDefault="00000000">
      <w:pPr>
        <w:pStyle w:val="ListNumber"/>
      </w:pPr>
      <w:r>
        <w:t>5. Who do you contact and in what order? What do you document?</w:t>
      </w:r>
    </w:p>
    <w:p w14:paraId="6F9F9B16" w14:textId="77777777" w:rsidR="002771B9" w:rsidRDefault="00000000">
      <w:pPr>
        <w:pStyle w:val="ListNumber"/>
      </w:pPr>
      <w:r>
        <w:t>6. The mechanism (fell off sofa) is offered as an explanation. How do you approach an inconsistent history without directly accusing?</w:t>
      </w:r>
    </w:p>
    <w:p w14:paraId="590D9127" w14:textId="77777777" w:rsidR="002771B9" w:rsidRDefault="00000000">
      <w:pPr>
        <w:pStyle w:val="ListNumber"/>
      </w:pPr>
      <w:r>
        <w:t>7. The family has just moved. How does this affect your approach to registration and information-gathering?</w:t>
      </w:r>
    </w:p>
    <w:p w14:paraId="7886703D" w14:textId="77777777" w:rsidR="002771B9" w:rsidRDefault="00000000">
      <w:pPr>
        <w:pStyle w:val="Heading2"/>
      </w:pPr>
      <w:r>
        <w:rPr>
          <w:color w:val="1E3C78"/>
        </w:rPr>
        <w:t>Learning Points</w:t>
      </w:r>
    </w:p>
    <w:p w14:paraId="588CC3A7" w14:textId="77777777" w:rsidR="002771B9" w:rsidRDefault="00000000">
      <w:pPr>
        <w:pStyle w:val="ListBullet"/>
      </w:pPr>
      <w:r>
        <w:t>Any bruise in a non-independently mobile infant is a red flag under NICE CG89 (Dec 2025). Document the specific motor abilities the infant has — do NOT just write "non-mobile".</w:t>
      </w:r>
    </w:p>
    <w:p w14:paraId="2B3AC24C" w14:textId="77777777" w:rsidR="002771B9" w:rsidRDefault="00000000">
      <w:pPr>
        <w:pStyle w:val="ListBullet"/>
      </w:pPr>
      <w:r>
        <w:t>The sofa story is a commonly offered explanation. The mechanism is not consistent — a 3-month-old on a sofa cannot fall independently.</w:t>
      </w:r>
    </w:p>
    <w:p w14:paraId="083CB547" w14:textId="77777777" w:rsidR="002771B9" w:rsidRDefault="00000000">
      <w:pPr>
        <w:pStyle w:val="ListBullet"/>
      </w:pPr>
      <w:r>
        <w:t>Think Family: Emily (4) and Charlie (2) are also potentially at risk. Flag all sibling records.</w:t>
      </w:r>
    </w:p>
    <w:p w14:paraId="1C032C34" w14:textId="77777777" w:rsidR="002771B9" w:rsidRDefault="00000000">
      <w:pPr>
        <w:pStyle w:val="ListBullet"/>
      </w:pPr>
      <w:r>
        <w:t>Do NOT attempt to investigate the injury yourself or refer to paediatrics alone without Social Care involvement. Refer same day to Children's Social Care.</w:t>
      </w:r>
    </w:p>
    <w:p w14:paraId="40C37E56" w14:textId="77777777" w:rsidR="002771B9" w:rsidRDefault="00000000">
      <w:pPr>
        <w:pStyle w:val="ListBullet"/>
      </w:pPr>
      <w:r>
        <w:t>Do NOT promise confidentiality or suggest you won't share the information.</w:t>
      </w:r>
    </w:p>
    <w:p w14:paraId="26D292F8" w14:textId="77777777" w:rsidR="002771B9" w:rsidRDefault="00000000">
      <w:pPr>
        <w:pStyle w:val="ListBullet"/>
      </w:pPr>
      <w:r>
        <w:t>Document verbatim what John said, the exact description of the injury, and your reasoning.</w:t>
      </w:r>
    </w:p>
    <w:p w14:paraId="775CF2E1" w14:textId="77777777" w:rsidR="002771B9" w:rsidRDefault="002771B9"/>
    <w:p w14:paraId="43DEAA2F" w14:textId="77777777" w:rsidR="002771B9" w:rsidRDefault="00000000">
      <w:pPr>
        <w:pStyle w:val="Heading1"/>
      </w:pPr>
      <w:r>
        <w:rPr>
          <w:color w:val="1E3C78"/>
        </w:rPr>
        <w:t>Scenario 2: Keeley — 13-year-old Attending Alone</w:t>
      </w:r>
    </w:p>
    <w:tbl>
      <w:tblPr>
        <w:tblStyle w:val="TableGrid"/>
        <w:tblW w:w="0" w:type="auto"/>
        <w:tblLook w:val="04A0" w:firstRow="1" w:lastRow="0" w:firstColumn="1" w:lastColumn="0" w:noHBand="0" w:noVBand="1"/>
      </w:tblPr>
      <w:tblGrid>
        <w:gridCol w:w="8453"/>
      </w:tblGrid>
      <w:tr w:rsidR="002771B9" w14:paraId="6743FFF0" w14:textId="77777777">
        <w:tc>
          <w:tcPr>
            <w:tcW w:w="8453" w:type="dxa"/>
            <w:shd w:val="clear" w:color="auto" w:fill="E8F4FD"/>
          </w:tcPr>
          <w:p w14:paraId="50339E12" w14:textId="77777777" w:rsidR="002771B9" w:rsidRDefault="00000000">
            <w:r>
              <w:t>📋 Context: Covers themes of: child sexual exploitation, under-13 sexual activity, confidentiality, Fraser competence, working with adolescents.</w:t>
            </w:r>
          </w:p>
        </w:tc>
      </w:tr>
    </w:tbl>
    <w:p w14:paraId="36BE8D81" w14:textId="77777777" w:rsidR="002771B9" w:rsidRDefault="002771B9"/>
    <w:p w14:paraId="4747563E" w14:textId="77777777" w:rsidR="002771B9" w:rsidRDefault="00000000">
      <w:r>
        <w:t>Keeley, aged 13, attends the surgery alone asking for contraception. She says she is "in a relationship" with a boy aged 17. She appears anxious and avoids eye contact. She has attended 3 times in the last 6 weeks, previously seen for recurrent abdominal pain. Her notes show she has missed 4 school appointments with the school nurse.</w:t>
      </w:r>
    </w:p>
    <w:p w14:paraId="16C47433" w14:textId="77777777" w:rsidR="002771B9" w:rsidRDefault="00000000">
      <w:pPr>
        <w:pStyle w:val="Heading2"/>
      </w:pPr>
      <w:r>
        <w:rPr>
          <w:color w:val="1E3C78"/>
        </w:rPr>
        <w:t>Discussion Questions</w:t>
      </w:r>
    </w:p>
    <w:p w14:paraId="09AA7CAE" w14:textId="77777777" w:rsidR="002771B9" w:rsidRDefault="00000000">
      <w:pPr>
        <w:pStyle w:val="ListNumber"/>
      </w:pPr>
      <w:r>
        <w:t>2. Keeley is 13. What does this mean for consent to sexual activity in law? Do you assess Fraser competence?</w:t>
      </w:r>
    </w:p>
    <w:p w14:paraId="6C7DE2DE" w14:textId="77777777" w:rsidR="002771B9" w:rsidRDefault="00000000">
      <w:pPr>
        <w:pStyle w:val="ListNumber"/>
      </w:pPr>
      <w:r>
        <w:t>3. What are the indicators of potential child sexual exploitation in this presentation?</w:t>
      </w:r>
    </w:p>
    <w:p w14:paraId="34755FAD" w14:textId="77777777" w:rsidR="002771B9" w:rsidRDefault="00000000">
      <w:pPr>
        <w:pStyle w:val="ListNumber"/>
      </w:pPr>
      <w:r>
        <w:t>4. How do you approach the consultation — what would you say? What questions would you ask?</w:t>
      </w:r>
    </w:p>
    <w:p w14:paraId="15E44199" w14:textId="77777777" w:rsidR="002771B9" w:rsidRDefault="00000000">
      <w:pPr>
        <w:pStyle w:val="ListNumber"/>
      </w:pPr>
      <w:r>
        <w:t>5. What is your responsibility regarding information sharing? What would you tell Keeley about what happens next?</w:t>
      </w:r>
    </w:p>
    <w:p w14:paraId="70B54493" w14:textId="77777777" w:rsidR="002771B9" w:rsidRDefault="00000000">
      <w:pPr>
        <w:pStyle w:val="ListNumber"/>
      </w:pPr>
      <w:r>
        <w:t>6. The pattern of missed school nurse appointments is significant. How would you interpret this in the context of her presentation?</w:t>
      </w:r>
    </w:p>
    <w:p w14:paraId="7514ABDE" w14:textId="77777777" w:rsidR="002771B9" w:rsidRDefault="00000000">
      <w:pPr>
        <w:pStyle w:val="ListNumber"/>
      </w:pPr>
      <w:r>
        <w:t>7. What resources and referral pathways are available locally for adolescent sexual exploitation?</w:t>
      </w:r>
    </w:p>
    <w:p w14:paraId="35125637" w14:textId="77777777" w:rsidR="002771B9" w:rsidRDefault="00000000">
      <w:pPr>
        <w:pStyle w:val="Heading2"/>
      </w:pPr>
      <w:r>
        <w:rPr>
          <w:color w:val="1E3C78"/>
        </w:rPr>
        <w:t>Learning Points</w:t>
      </w:r>
    </w:p>
    <w:p w14:paraId="1B824B7B" w14:textId="77777777" w:rsidR="002771B9" w:rsidRDefault="00000000">
      <w:pPr>
        <w:pStyle w:val="ListBullet"/>
      </w:pPr>
      <w:r>
        <w:t>Under 13: CANNOT consent to sexual activity in law. Do NOT assess Fraser competence for this purpose — report instead.</w:t>
      </w:r>
    </w:p>
    <w:p w14:paraId="70967CCE" w14:textId="77777777" w:rsidR="002771B9" w:rsidRDefault="00000000">
      <w:pPr>
        <w:pStyle w:val="ListBullet"/>
      </w:pPr>
      <w:r>
        <w:t>Sexual activity between Keeley (13) and a 17-year-old is a crime regardless of apparent consent.</w:t>
      </w:r>
    </w:p>
    <w:p w14:paraId="583EE3D8" w14:textId="77777777" w:rsidR="002771B9" w:rsidRDefault="00000000">
      <w:pPr>
        <w:pStyle w:val="ListBullet"/>
      </w:pPr>
      <w:r>
        <w:t>This is a strong indicator of child sexual exploitation — older partner, seeking contraception at 13, anxiety, avoidance.</w:t>
      </w:r>
    </w:p>
    <w:p w14:paraId="7FB7BCCB" w14:textId="77777777" w:rsidR="002771B9" w:rsidRDefault="00000000">
      <w:pPr>
        <w:pStyle w:val="ListBullet"/>
      </w:pPr>
      <w:r>
        <w:t>You MUST share information with Social Care. You should tell Keeley you are going to do this, but you do NOT need her consent.</w:t>
      </w:r>
    </w:p>
    <w:p w14:paraId="46D2A418" w14:textId="77777777" w:rsidR="002771B9" w:rsidRDefault="00000000">
      <w:pPr>
        <w:pStyle w:val="ListBullet"/>
      </w:pPr>
      <w:r>
        <w:t>Use the SAFEGUARD mnemonic: Sexual health and behaviour; Absent from school; Familial problems; Emotional state; older partner (Gang/older age group); Use of technology; Alcohol/drug use; Receipt of gifts; Distrust of authority.</w:t>
      </w:r>
    </w:p>
    <w:p w14:paraId="19EDF95F" w14:textId="77777777" w:rsidR="002771B9" w:rsidRDefault="00000000">
      <w:pPr>
        <w:pStyle w:val="ListBullet"/>
      </w:pPr>
      <w:r>
        <w:t>Missed school nurse appointments = additional safeguarding pattern. Add to clinical picture.</w:t>
      </w:r>
    </w:p>
    <w:p w14:paraId="59848462" w14:textId="77777777" w:rsidR="002771B9" w:rsidRDefault="00000000">
      <w:pPr>
        <w:pStyle w:val="ListBullet"/>
      </w:pPr>
      <w:r>
        <w:t>Prescribed contraception to Keeley would not be clinically appropriate as the first action — safeguarding referral takes priority.</w:t>
      </w:r>
    </w:p>
    <w:p w14:paraId="4BD77965" w14:textId="77777777" w:rsidR="002771B9" w:rsidRDefault="002771B9"/>
    <w:p w14:paraId="2458F0B5" w14:textId="77777777" w:rsidR="002771B9" w:rsidRDefault="00000000">
      <w:pPr>
        <w:pStyle w:val="Heading1"/>
      </w:pPr>
      <w:r>
        <w:rPr>
          <w:color w:val="1E3C78"/>
        </w:rPr>
        <w:lastRenderedPageBreak/>
        <w:t>Scenario 3: Michael — Fabricated or Induced Illness (FII)</w:t>
      </w:r>
    </w:p>
    <w:tbl>
      <w:tblPr>
        <w:tblStyle w:val="TableGrid"/>
        <w:tblW w:w="0" w:type="auto"/>
        <w:tblLook w:val="04A0" w:firstRow="1" w:lastRow="0" w:firstColumn="1" w:lastColumn="0" w:noHBand="0" w:noVBand="1"/>
      </w:tblPr>
      <w:tblGrid>
        <w:gridCol w:w="8453"/>
      </w:tblGrid>
      <w:tr w:rsidR="002771B9" w14:paraId="296D0BDC" w14:textId="77777777">
        <w:tc>
          <w:tcPr>
            <w:tcW w:w="8453" w:type="dxa"/>
            <w:shd w:val="clear" w:color="auto" w:fill="E8F4FD"/>
          </w:tcPr>
          <w:p w14:paraId="03172181" w14:textId="77777777" w:rsidR="002771B9" w:rsidRDefault="00000000">
            <w:r>
              <w:t>📋 Context: Covers themes of: Fabricated or Induced Illness (FII — updated term replacing Munchausen Syndrome by Proxy), professional curiosity, multi-agency working.</w:t>
            </w:r>
          </w:p>
        </w:tc>
      </w:tr>
    </w:tbl>
    <w:p w14:paraId="576CC107" w14:textId="77777777" w:rsidR="002771B9" w:rsidRDefault="002771B9"/>
    <w:p w14:paraId="02360CAD" w14:textId="77777777" w:rsidR="002771B9" w:rsidRDefault="00000000">
      <w:r>
        <w:t>Michael (7) has been brought to the practice 11 times in the last year by his mother Linda (32) with episodes of fits, faints, and funny turns. Despite extensive paediatric assessment and two EEG investigations, no neurological cause has been found. Episodes always occur when Linda is alone with Michael, and the paediatric team note they have never witnessed an episode. Nursing staff have noticed that Linda seems unusually calm during descriptions of what sounds like terrifying events. Michael appears quiet and avoids speaking when his mother is present.</w:t>
      </w:r>
    </w:p>
    <w:p w14:paraId="6E91083C" w14:textId="77777777" w:rsidR="002771B9" w:rsidRDefault="00000000">
      <w:pPr>
        <w:pStyle w:val="Heading2"/>
      </w:pPr>
      <w:r>
        <w:rPr>
          <w:color w:val="1E3C78"/>
        </w:rPr>
        <w:t>Discussion Questions</w:t>
      </w:r>
    </w:p>
    <w:p w14:paraId="4CF5D943" w14:textId="77777777" w:rsidR="002771B9" w:rsidRDefault="00000000">
      <w:pPr>
        <w:pStyle w:val="ListNumber"/>
      </w:pPr>
      <w:r>
        <w:t>2. What syndrome or safeguarding concern is this presentation raising? What is the updated terminology for this condition?</w:t>
      </w:r>
    </w:p>
    <w:p w14:paraId="0E9CCCAA" w14:textId="77777777" w:rsidR="002771B9" w:rsidRDefault="00000000">
      <w:pPr>
        <w:pStyle w:val="ListNumber"/>
      </w:pPr>
      <w:r>
        <w:t>3. What are the specific features here that support this concern?</w:t>
      </w:r>
    </w:p>
    <w:p w14:paraId="306449C2" w14:textId="77777777" w:rsidR="002771B9" w:rsidRDefault="00000000">
      <w:pPr>
        <w:pStyle w:val="ListNumber"/>
      </w:pPr>
      <w:r>
        <w:t>4. What is the role of the GP at this point? Should you confront Linda?</w:t>
      </w:r>
    </w:p>
    <w:p w14:paraId="126E7391" w14:textId="77777777" w:rsidR="002771B9" w:rsidRDefault="00000000">
      <w:pPr>
        <w:pStyle w:val="ListNumber"/>
      </w:pPr>
      <w:r>
        <w:t>5. What information would you gather? Who would you involve?</w:t>
      </w:r>
    </w:p>
    <w:p w14:paraId="32543E38" w14:textId="77777777" w:rsidR="002771B9" w:rsidRDefault="00000000">
      <w:pPr>
        <w:pStyle w:val="ListNumber"/>
      </w:pPr>
      <w:r>
        <w:t>6. How do you capture Michael's voice in this scenario?</w:t>
      </w:r>
    </w:p>
    <w:p w14:paraId="64E3BB30" w14:textId="77777777" w:rsidR="002771B9" w:rsidRDefault="00000000">
      <w:pPr>
        <w:pStyle w:val="ListNumber"/>
      </w:pPr>
      <w:r>
        <w:t>7. What multi-agency steps are required?</w:t>
      </w:r>
    </w:p>
    <w:p w14:paraId="0F912045" w14:textId="77777777" w:rsidR="002771B9" w:rsidRDefault="00000000">
      <w:pPr>
        <w:pStyle w:val="Heading2"/>
      </w:pPr>
      <w:r>
        <w:rPr>
          <w:color w:val="1E3C78"/>
        </w:rPr>
        <w:t>Learning Points</w:t>
      </w:r>
    </w:p>
    <w:p w14:paraId="4D8FA5E5" w14:textId="77777777" w:rsidR="002771B9" w:rsidRDefault="00000000">
      <w:pPr>
        <w:pStyle w:val="ListBullet"/>
      </w:pPr>
      <w:r>
        <w:t>This is a presentation consistent with Fabricated or Induced Illness (FII) — the correct current term (replaces Munchausen Syndrome by Proxy/MSBP).</w:t>
      </w:r>
    </w:p>
    <w:p w14:paraId="1ADC3030" w14:textId="77777777" w:rsidR="002771B9" w:rsidRDefault="00000000">
      <w:pPr>
        <w:pStyle w:val="ListBullet"/>
      </w:pPr>
      <w:r>
        <w:t>Key features: repeated unexplained illness; always occurs with one carer; investigations negative; carer appears calm despite described severity; child changes behaviour in carer's presence.</w:t>
      </w:r>
    </w:p>
    <w:p w14:paraId="0C316DCB" w14:textId="77777777" w:rsidR="002771B9" w:rsidRDefault="00000000">
      <w:pPr>
        <w:pStyle w:val="ListBullet"/>
      </w:pPr>
      <w:r>
        <w:t>Do NOT confront Linda alone — this risks triggering escalation and gives her an opportunity to cover tracks.</w:t>
      </w:r>
    </w:p>
    <w:p w14:paraId="5F4DBBBE" w14:textId="77777777" w:rsidR="002771B9" w:rsidRDefault="00000000">
      <w:pPr>
        <w:pStyle w:val="ListBullet"/>
      </w:pPr>
      <w:r>
        <w:t>Involve the named doctor/designated nurse for child protection immediately.</w:t>
      </w:r>
    </w:p>
    <w:p w14:paraId="44284E4D" w14:textId="77777777" w:rsidR="002771B9" w:rsidRDefault="00000000">
      <w:pPr>
        <w:pStyle w:val="ListBullet"/>
      </w:pPr>
      <w:r>
        <w:t>A multi-agency strategy meeting is required — covert inpatient observation may be considered in complex cases.</w:t>
      </w:r>
    </w:p>
    <w:p w14:paraId="5950B77D" w14:textId="77777777" w:rsidR="002771B9" w:rsidRDefault="00000000">
      <w:pPr>
        <w:pStyle w:val="ListBullet"/>
      </w:pPr>
      <w:r>
        <w:t>Michael's quiet behaviour and avoidance of speaking may represent his voice — document this non-verbal communication.</w:t>
      </w:r>
    </w:p>
    <w:p w14:paraId="089C163F" w14:textId="77777777" w:rsidR="002771B9" w:rsidRDefault="00000000">
      <w:pPr>
        <w:pStyle w:val="ListBullet"/>
      </w:pPr>
      <w:r>
        <w:t>At the next consultation when Linda brings Michael, do not focus the consultation on the seizures — explore other aspects and look for inconsistencies.</w:t>
      </w:r>
    </w:p>
    <w:p w14:paraId="670E2E93" w14:textId="77777777" w:rsidR="002771B9" w:rsidRDefault="002771B9"/>
    <w:p w14:paraId="2446EE2F" w14:textId="77777777" w:rsidR="00F6294A" w:rsidRDefault="00F6294A">
      <w:pPr>
        <w:rPr>
          <w:rFonts w:asciiTheme="majorHAnsi" w:eastAsiaTheme="majorEastAsia" w:hAnsiTheme="majorHAnsi" w:cstheme="majorBidi"/>
          <w:b/>
          <w:bCs/>
          <w:color w:val="1E3C78"/>
          <w:sz w:val="28"/>
          <w:szCs w:val="28"/>
        </w:rPr>
      </w:pPr>
      <w:r>
        <w:rPr>
          <w:color w:val="1E3C78"/>
        </w:rPr>
        <w:br w:type="page"/>
      </w:r>
    </w:p>
    <w:p w14:paraId="261DA661" w14:textId="3E3C243C" w:rsidR="002771B9" w:rsidRDefault="00000000">
      <w:pPr>
        <w:pStyle w:val="Heading1"/>
      </w:pPr>
      <w:r>
        <w:rPr>
          <w:color w:val="1E3C78"/>
        </w:rPr>
        <w:lastRenderedPageBreak/>
        <w:t>Scenario 4: Sarah — Domestic Abuse and Safeguarding Children</w:t>
      </w:r>
    </w:p>
    <w:tbl>
      <w:tblPr>
        <w:tblStyle w:val="TableGrid"/>
        <w:tblW w:w="0" w:type="auto"/>
        <w:tblLook w:val="04A0" w:firstRow="1" w:lastRow="0" w:firstColumn="1" w:lastColumn="0" w:noHBand="0" w:noVBand="1"/>
      </w:tblPr>
      <w:tblGrid>
        <w:gridCol w:w="8453"/>
      </w:tblGrid>
      <w:tr w:rsidR="002771B9" w14:paraId="2C8AA078" w14:textId="77777777">
        <w:tc>
          <w:tcPr>
            <w:tcW w:w="8453" w:type="dxa"/>
            <w:shd w:val="clear" w:color="auto" w:fill="E8F4FD"/>
          </w:tcPr>
          <w:p w14:paraId="5A849D12" w14:textId="77777777" w:rsidR="002771B9" w:rsidRDefault="00000000">
            <w:r>
              <w:t>📋 Context: Covers themes of: domestic abuse as emotional harm to children, Think Family, professional curiosity, information sharing, perinatal safeguarding.</w:t>
            </w:r>
          </w:p>
        </w:tc>
      </w:tr>
    </w:tbl>
    <w:p w14:paraId="5D3AE8C5" w14:textId="77777777" w:rsidR="002771B9" w:rsidRDefault="002771B9"/>
    <w:p w14:paraId="3800AADA" w14:textId="77777777" w:rsidR="002771B9" w:rsidRDefault="00000000">
      <w:r>
        <w:t>Sarah (28) attends for a routine smear test. She is 22 weeks pregnant. During the consultation, you notice she appears guarded and has a faded bruise on her forearm. She mentions she has two other children at home — Lily (5) and Jayden (3). When you gently enquire about her wellbeing, she becomes tearful and says "things have been difficult at home." She then quickly says she is fine and changes the subject.</w:t>
      </w:r>
    </w:p>
    <w:p w14:paraId="0CA74C82" w14:textId="77777777" w:rsidR="002771B9" w:rsidRDefault="00000000">
      <w:pPr>
        <w:pStyle w:val="Heading2"/>
      </w:pPr>
      <w:r>
        <w:rPr>
          <w:color w:val="1E3C78"/>
        </w:rPr>
        <w:t>Discussion Questions</w:t>
      </w:r>
    </w:p>
    <w:p w14:paraId="092ECC81" w14:textId="77777777" w:rsidR="002771B9" w:rsidRDefault="00000000">
      <w:pPr>
        <w:pStyle w:val="ListNumber"/>
      </w:pPr>
      <w:r>
        <w:t>2. How do you respond to Sarah in the moment? What do you say? What do you avoid saying?</w:t>
      </w:r>
    </w:p>
    <w:p w14:paraId="636829F5" w14:textId="77777777" w:rsidR="002771B9" w:rsidRDefault="00000000">
      <w:pPr>
        <w:pStyle w:val="ListNumber"/>
      </w:pPr>
      <w:r>
        <w:t>3. How does the presence of children at home change your safeguarding approach?</w:t>
      </w:r>
    </w:p>
    <w:p w14:paraId="2E1E8594" w14:textId="77777777" w:rsidR="002771B9" w:rsidRDefault="00000000">
      <w:pPr>
        <w:pStyle w:val="ListNumber"/>
      </w:pPr>
      <w:r>
        <w:t>4. Sarah is pregnant. What specific safeguarding considerations apply to the unborn baby?</w:t>
      </w:r>
    </w:p>
    <w:p w14:paraId="63F755FB" w14:textId="77777777" w:rsidR="002771B9" w:rsidRDefault="00000000">
      <w:pPr>
        <w:pStyle w:val="ListNumber"/>
      </w:pPr>
      <w:r>
        <w:t>5. The bruise on her forearm — what is its significance? How do you approach this?</w:t>
      </w:r>
    </w:p>
    <w:p w14:paraId="22AA6882" w14:textId="77777777" w:rsidR="002771B9" w:rsidRDefault="00000000">
      <w:pPr>
        <w:pStyle w:val="ListNumber"/>
      </w:pPr>
      <w:r>
        <w:t>6. Sarah says she is "fine". How do you use professional curiosity without alienating her?</w:t>
      </w:r>
    </w:p>
    <w:p w14:paraId="7E781365" w14:textId="77777777" w:rsidR="002771B9" w:rsidRDefault="00000000">
      <w:pPr>
        <w:pStyle w:val="ListNumber"/>
      </w:pPr>
      <w:r>
        <w:t>7. If Sarah discloses domestic abuse, what would your immediate management steps be?</w:t>
      </w:r>
    </w:p>
    <w:p w14:paraId="5F8D1787" w14:textId="77777777" w:rsidR="002771B9" w:rsidRDefault="00000000">
      <w:pPr>
        <w:pStyle w:val="Heading2"/>
      </w:pPr>
      <w:r>
        <w:rPr>
          <w:color w:val="1E3C78"/>
        </w:rPr>
        <w:t>Learning Points</w:t>
      </w:r>
    </w:p>
    <w:p w14:paraId="42CC9067" w14:textId="77777777" w:rsidR="002771B9" w:rsidRDefault="00000000">
      <w:pPr>
        <w:pStyle w:val="ListBullet"/>
      </w:pPr>
      <w:r>
        <w:t>Witnessing domestic abuse IS a form of emotional abuse for children under Working Together 2026 — Lily and Jayden are at safeguarding risk.</w:t>
      </w:r>
    </w:p>
    <w:p w14:paraId="3CCC8AA6" w14:textId="77777777" w:rsidR="002771B9" w:rsidRDefault="00000000">
      <w:pPr>
        <w:pStyle w:val="ListBullet"/>
      </w:pPr>
      <w:r>
        <w:t>Think Family: always ask an adult patient in a domestic abuse context "are there children in the home?"</w:t>
      </w:r>
    </w:p>
    <w:p w14:paraId="0DEFC3DF" w14:textId="77777777" w:rsidR="002771B9" w:rsidRDefault="00000000">
      <w:pPr>
        <w:pStyle w:val="ListBullet"/>
      </w:pPr>
      <w:r>
        <w:t>Perinatal period: domestic abuse often escalates in pregnancy. Pre-birth referral to Children's Social Care should be considered from 12 weeks for unborn babies at risk.</w:t>
      </w:r>
    </w:p>
    <w:p w14:paraId="4239F304" w14:textId="77777777" w:rsidR="002771B9" w:rsidRDefault="00000000">
      <w:pPr>
        <w:pStyle w:val="ListBullet"/>
      </w:pPr>
      <w:r>
        <w:t>Do not use family members as interpreters.</w:t>
      </w:r>
    </w:p>
    <w:p w14:paraId="442CB25A" w14:textId="77777777" w:rsidR="002771B9" w:rsidRDefault="00000000">
      <w:pPr>
        <w:pStyle w:val="ListBullet"/>
      </w:pPr>
      <w:r>
        <w:t>NICE recommends HARK or HITS screening tools for domestic abuse in primary care.</w:t>
      </w:r>
    </w:p>
    <w:p w14:paraId="01C2EEA1" w14:textId="77777777" w:rsidR="002771B9" w:rsidRDefault="00000000">
      <w:pPr>
        <w:pStyle w:val="ListBullet"/>
      </w:pPr>
      <w:r>
        <w:t>Sarah does not have to disclose formally for you to take action — if you have reasonable concern, you can share information with the HV and make a MARAC referral.</w:t>
      </w:r>
    </w:p>
    <w:p w14:paraId="2E49585A" w14:textId="77777777" w:rsidR="002771B9" w:rsidRDefault="00000000">
      <w:pPr>
        <w:pStyle w:val="ListBullet"/>
      </w:pPr>
      <w:r>
        <w:t>Create a safety plan with Sarah if she discloses — know local refuge and support referral pathways.</w:t>
      </w:r>
    </w:p>
    <w:p w14:paraId="4ECF4193" w14:textId="77777777" w:rsidR="002771B9" w:rsidRDefault="002771B9"/>
    <w:p w14:paraId="5071F723" w14:textId="77777777" w:rsidR="00F6294A" w:rsidRDefault="00F6294A">
      <w:pPr>
        <w:rPr>
          <w:rFonts w:asciiTheme="majorHAnsi" w:eastAsiaTheme="majorEastAsia" w:hAnsiTheme="majorHAnsi" w:cstheme="majorBidi"/>
          <w:b/>
          <w:bCs/>
          <w:color w:val="1E3C78"/>
          <w:sz w:val="28"/>
          <w:szCs w:val="28"/>
        </w:rPr>
      </w:pPr>
      <w:r>
        <w:rPr>
          <w:color w:val="1E3C78"/>
        </w:rPr>
        <w:br w:type="page"/>
      </w:r>
    </w:p>
    <w:p w14:paraId="00137CD2" w14:textId="502C597D" w:rsidR="002771B9" w:rsidRDefault="00000000">
      <w:pPr>
        <w:pStyle w:val="Heading1"/>
      </w:pPr>
      <w:r>
        <w:rPr>
          <w:color w:val="1E3C78"/>
        </w:rPr>
        <w:lastRenderedPageBreak/>
        <w:t>PLE Facilitation Guide</w:t>
      </w:r>
    </w:p>
    <w:p w14:paraId="06A844A8" w14:textId="77777777" w:rsidR="002771B9" w:rsidRDefault="00000000">
      <w:pPr>
        <w:pStyle w:val="Heading2"/>
      </w:pPr>
      <w:r>
        <w:rPr>
          <w:color w:val="1E3C78"/>
        </w:rPr>
        <w:t>Before the session</w:t>
      </w:r>
    </w:p>
    <w:p w14:paraId="005E95A3" w14:textId="77777777" w:rsidR="002771B9" w:rsidRDefault="00000000">
      <w:r>
        <w:t>Circulate scenarios as pre-reading. Identify a facilitator (Named GP / Designated Nurse). Ensure the room is suitable for open discussion.</w:t>
      </w:r>
    </w:p>
    <w:p w14:paraId="479F3C9D" w14:textId="77777777" w:rsidR="002771B9" w:rsidRDefault="00000000">
      <w:pPr>
        <w:pStyle w:val="Heading2"/>
      </w:pPr>
      <w:r>
        <w:rPr>
          <w:color w:val="1E3C78"/>
        </w:rPr>
        <w:t>Opening (10 minutes)</w:t>
      </w:r>
    </w:p>
    <w:p w14:paraId="42E535BC" w14:textId="77777777" w:rsidR="002771B9" w:rsidRDefault="00000000">
      <w:r>
        <w:t>Set ground rules: non-blaming, reflective, confidential within the group. Confirm PLE objectives. Brief overview of current guidance (NICE CG89 Dec 2025, Working Together 2026).</w:t>
      </w:r>
    </w:p>
    <w:p w14:paraId="6E4B561E" w14:textId="77777777" w:rsidR="002771B9" w:rsidRDefault="00000000">
      <w:pPr>
        <w:pStyle w:val="Heading2"/>
      </w:pPr>
      <w:r>
        <w:rPr>
          <w:color w:val="1E3C78"/>
        </w:rPr>
        <w:t>Case discussion (60–90 minutes)</w:t>
      </w:r>
    </w:p>
    <w:p w14:paraId="5B33C185" w14:textId="77777777" w:rsidR="002771B9" w:rsidRDefault="00000000">
      <w:r>
        <w:t>Work through each scenario using discussion questions. Encourage all members to contribute. Note emerging themes and systemic issues.</w:t>
      </w:r>
    </w:p>
    <w:p w14:paraId="6B93F8A2" w14:textId="77777777" w:rsidR="002771B9" w:rsidRDefault="00000000">
      <w:pPr>
        <w:pStyle w:val="Heading2"/>
      </w:pPr>
      <w:r>
        <w:rPr>
          <w:color w:val="1E3C78"/>
        </w:rPr>
        <w:t>Reflection (15 minutes)</w:t>
      </w:r>
    </w:p>
    <w:p w14:paraId="26B65F95" w14:textId="77777777" w:rsidR="002771B9" w:rsidRDefault="00000000">
      <w:r>
        <w:t>What surprised you? What would you do differently? What barriers exist in your practice? What systems changes are needed?</w:t>
      </w:r>
    </w:p>
    <w:p w14:paraId="3D7D8D01" w14:textId="77777777" w:rsidR="002771B9" w:rsidRDefault="00000000">
      <w:pPr>
        <w:pStyle w:val="Heading2"/>
      </w:pPr>
      <w:r>
        <w:rPr>
          <w:color w:val="1E3C78"/>
        </w:rPr>
        <w:t>Actions (10 minutes)</w:t>
      </w:r>
    </w:p>
    <w:p w14:paraId="149729D8" w14:textId="77777777" w:rsidR="002771B9" w:rsidRDefault="00000000">
      <w:r>
        <w:t>Identify 2–3 specific actions for the practice. Assign owners and review dates. Document outcomes for ICB submission.</w:t>
      </w:r>
    </w:p>
    <w:p w14:paraId="062D0C14" w14:textId="77777777" w:rsidR="002771B9" w:rsidRDefault="00000000">
      <w:pPr>
        <w:pStyle w:val="Heading2"/>
      </w:pPr>
      <w:r>
        <w:rPr>
          <w:color w:val="1E3C78"/>
        </w:rPr>
        <w:t>Closing</w:t>
      </w:r>
    </w:p>
    <w:p w14:paraId="09350F1F" w14:textId="77777777" w:rsidR="002771B9" w:rsidRDefault="00000000">
      <w:r>
        <w:t>Summarise learning. Remind participants to log attendance for safeguarding training hours. Confirm next PLE date.</w:t>
      </w:r>
    </w:p>
    <w:p w14:paraId="5391C00C" w14:textId="77777777" w:rsidR="002771B9" w:rsidRDefault="002771B9"/>
    <w:tbl>
      <w:tblPr>
        <w:tblStyle w:val="TableGrid"/>
        <w:tblW w:w="0" w:type="auto"/>
        <w:tblLook w:val="04A0" w:firstRow="1" w:lastRow="0" w:firstColumn="1" w:lastColumn="0" w:noHBand="0" w:noVBand="1"/>
      </w:tblPr>
      <w:tblGrid>
        <w:gridCol w:w="8453"/>
      </w:tblGrid>
      <w:tr w:rsidR="002771B9" w14:paraId="16D28654" w14:textId="77777777">
        <w:tc>
          <w:tcPr>
            <w:tcW w:w="8453" w:type="dxa"/>
            <w:shd w:val="clear" w:color="auto" w:fill="FFF3CD"/>
          </w:tcPr>
          <w:p w14:paraId="19817782" w14:textId="77777777" w:rsidR="002771B9" w:rsidRDefault="00000000">
            <w:r>
              <w:t>⚠ Disclaimer: Always double check this advice and drug doses with the latest NICE/BNF guidance. This document is for educational purposes only.</w:t>
            </w:r>
          </w:p>
        </w:tc>
      </w:tr>
    </w:tbl>
    <w:p w14:paraId="2577FEA9" w14:textId="77777777" w:rsidR="002771B9" w:rsidRDefault="002771B9"/>
    <w:sectPr w:rsidR="002771B9" w:rsidSect="00034616">
      <w:footerReference w:type="default" r:id="rId8"/>
      <w:pgSz w:w="11909" w:h="16834"/>
      <w:pgMar w:top="1440" w:right="1728" w:bottom="1440"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F938B5" w14:textId="77777777" w:rsidR="008554D2" w:rsidRDefault="008554D2">
      <w:pPr>
        <w:spacing w:after="0" w:line="240" w:lineRule="auto"/>
      </w:pPr>
      <w:r>
        <w:separator/>
      </w:r>
    </w:p>
  </w:endnote>
  <w:endnote w:type="continuationSeparator" w:id="0">
    <w:p w14:paraId="342ED93C" w14:textId="77777777" w:rsidR="008554D2" w:rsidRDefault="008554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80D91" w14:textId="77777777" w:rsidR="002771B9" w:rsidRDefault="00000000">
    <w:pPr>
      <w:pStyle w:val="Footer"/>
      <w:jc w:val="center"/>
    </w:pPr>
    <w:r>
      <w:rPr>
        <w:color w:val="646464"/>
        <w:sz w:val="18"/>
      </w:rPr>
      <w:t>A free resource provided by www.bradfordvts.co.uk, Dr Ramesh Mehay, May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B7021F" w14:textId="77777777" w:rsidR="008554D2" w:rsidRDefault="008554D2">
      <w:pPr>
        <w:spacing w:after="0" w:line="240" w:lineRule="auto"/>
      </w:pPr>
      <w:r>
        <w:separator/>
      </w:r>
    </w:p>
  </w:footnote>
  <w:footnote w:type="continuationSeparator" w:id="0">
    <w:p w14:paraId="02E1351E" w14:textId="77777777" w:rsidR="008554D2" w:rsidRDefault="008554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935863853">
    <w:abstractNumId w:val="8"/>
  </w:num>
  <w:num w:numId="2" w16cid:durableId="1573467342">
    <w:abstractNumId w:val="6"/>
  </w:num>
  <w:num w:numId="3" w16cid:durableId="246696804">
    <w:abstractNumId w:val="5"/>
  </w:num>
  <w:num w:numId="4" w16cid:durableId="1103572443">
    <w:abstractNumId w:val="4"/>
  </w:num>
  <w:num w:numId="5" w16cid:durableId="1117748803">
    <w:abstractNumId w:val="7"/>
  </w:num>
  <w:num w:numId="6" w16cid:durableId="300308209">
    <w:abstractNumId w:val="3"/>
  </w:num>
  <w:num w:numId="7" w16cid:durableId="1195271820">
    <w:abstractNumId w:val="2"/>
  </w:num>
  <w:num w:numId="8" w16cid:durableId="666638336">
    <w:abstractNumId w:val="1"/>
  </w:num>
  <w:num w:numId="9" w16cid:durableId="12698538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560F"/>
    <w:rsid w:val="00034616"/>
    <w:rsid w:val="0006063C"/>
    <w:rsid w:val="0015074B"/>
    <w:rsid w:val="002771B9"/>
    <w:rsid w:val="0029639D"/>
    <w:rsid w:val="00326F90"/>
    <w:rsid w:val="008554D2"/>
    <w:rsid w:val="00AA1D8D"/>
    <w:rsid w:val="00B47730"/>
    <w:rsid w:val="00CB0664"/>
    <w:rsid w:val="00F6294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33F9FE0"/>
  <w14:defaultImageDpi w14:val="300"/>
  <w15:docId w15:val="{B19382FF-82F2-4C98-A38A-2FFE7E13D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1812</Words>
  <Characters>9936</Characters>
  <Application>Microsoft Office Word</Application>
  <DocSecurity>0</DocSecurity>
  <Lines>211</Lines>
  <Paragraphs>121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11627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Bradford VTS</dc:creator>
  <cp:keywords/>
  <dc:description>generated by python-docx</dc:description>
  <cp:lastModifiedBy>Ramesh Mehay</cp:lastModifiedBy>
  <cp:revision>3</cp:revision>
  <dcterms:created xsi:type="dcterms:W3CDTF">2013-12-23T23:15:00Z</dcterms:created>
  <dcterms:modified xsi:type="dcterms:W3CDTF">2026-05-26T10:06:00Z</dcterms:modified>
  <cp:category/>
</cp:coreProperties>
</file>