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179"/>
        <w:gridCol w:w="3327"/>
      </w:tblGrid>
      <w:tr w:rsidR="005233FC" w14:paraId="00079BE1" w14:textId="77777777">
        <w:tblPrEx>
          <w:tblCellMar>
            <w:top w:w="0" w:type="dxa"/>
            <w:bottom w:w="0" w:type="dxa"/>
          </w:tblCellMar>
        </w:tblPrEx>
        <w:tc>
          <w:tcPr>
            <w:tcW w:w="6179" w:type="dxa"/>
            <w:tcBorders>
              <w:top w:val="none" w:sz="0" w:space="0" w:color="FFFFFF"/>
              <w:left w:val="none" w:sz="0" w:space="0" w:color="FFFFFF"/>
              <w:bottom w:val="none" w:sz="0" w:space="0" w:color="FFFFFF"/>
              <w:right w:val="none" w:sz="0" w:space="0" w:color="FFFFFF"/>
            </w:tcBorders>
            <w:shd w:val="clear" w:color="auto" w:fill="E8600A"/>
            <w:tcMar>
              <w:top w:w="140" w:type="dxa"/>
              <w:left w:w="200" w:type="dxa"/>
              <w:bottom w:w="140" w:type="dxa"/>
              <w:right w:w="100" w:type="dxa"/>
            </w:tcMar>
          </w:tcPr>
          <w:p w14:paraId="298CF173" w14:textId="77777777" w:rsidR="005233FC" w:rsidRDefault="00000000">
            <w:pPr>
              <w:spacing w:after="60"/>
            </w:pPr>
            <w:r>
              <w:rPr>
                <w:b/>
                <w:bCs/>
                <w:color w:val="FFFFFF"/>
                <w:sz w:val="30"/>
                <w:szCs w:val="30"/>
              </w:rPr>
              <w:t>BRADFORD VTS TEACHING AIDS</w:t>
            </w:r>
          </w:p>
          <w:p w14:paraId="1F17920F" w14:textId="77777777" w:rsidR="005233FC" w:rsidRDefault="00000000">
            <w:r>
              <w:rPr>
                <w:color w:val="FFE0C0"/>
                <w:sz w:val="18"/>
                <w:szCs w:val="18"/>
              </w:rPr>
              <w:t>GP Vocational Training Scheme</w:t>
            </w:r>
          </w:p>
        </w:tc>
        <w:tc>
          <w:tcPr>
            <w:tcW w:w="3327" w:type="dxa"/>
            <w:tcBorders>
              <w:top w:val="none" w:sz="0" w:space="0" w:color="FFFFFF"/>
              <w:left w:val="none" w:sz="0" w:space="0" w:color="FFFFFF"/>
              <w:bottom w:val="none" w:sz="0" w:space="0" w:color="FFFFFF"/>
              <w:right w:val="none" w:sz="0" w:space="0" w:color="FFFFFF"/>
            </w:tcBorders>
            <w:shd w:val="clear" w:color="auto" w:fill="2C2C2C"/>
            <w:tcMar>
              <w:top w:w="140" w:type="dxa"/>
              <w:left w:w="120" w:type="dxa"/>
              <w:bottom w:w="140" w:type="dxa"/>
              <w:right w:w="120" w:type="dxa"/>
            </w:tcMar>
            <w:vAlign w:val="center"/>
          </w:tcPr>
          <w:p w14:paraId="664B15A6" w14:textId="77777777" w:rsidR="005233FC" w:rsidRDefault="00000000">
            <w:pPr>
              <w:jc w:val="center"/>
            </w:pPr>
            <w:r>
              <w:rPr>
                <w:color w:val="AAAAAA"/>
                <w:sz w:val="18"/>
                <w:szCs w:val="18"/>
              </w:rPr>
              <w:t>Date:</w:t>
            </w:r>
          </w:p>
          <w:p w14:paraId="698A7717" w14:textId="77777777" w:rsidR="005233FC" w:rsidRDefault="00000000">
            <w:pPr>
              <w:jc w:val="center"/>
            </w:pPr>
            <w:r>
              <w:rPr>
                <w:b/>
                <w:bCs/>
                <w:color w:val="FFFFFF"/>
                <w:sz w:val="22"/>
                <w:szCs w:val="22"/>
              </w:rPr>
              <w:t>May 2026</w:t>
            </w:r>
          </w:p>
        </w:tc>
      </w:tr>
    </w:tbl>
    <w:p w14:paraId="3EF3B724" w14:textId="77777777" w:rsidR="005233FC" w:rsidRPr="00902BAF" w:rsidRDefault="005233FC">
      <w:pPr>
        <w:spacing w:before="160" w:after="80"/>
        <w:rPr>
          <w:sz w:val="2"/>
          <w:szCs w:val="2"/>
        </w:rPr>
      </w:pPr>
    </w:p>
    <w:p w14:paraId="4A96DA81" w14:textId="77777777" w:rsidR="005233FC" w:rsidRDefault="00000000">
      <w:pPr>
        <w:pBdr>
          <w:bottom w:val="single" w:sz="1" w:space="0" w:color="E8600A"/>
        </w:pBdr>
        <w:shd w:val="clear" w:color="auto" w:fill="E8600A"/>
        <w:spacing w:before="260" w:after="120"/>
      </w:pPr>
      <w:r>
        <w:rPr>
          <w:b/>
          <w:bCs/>
          <w:color w:val="FFFFFF"/>
          <w:sz w:val="28"/>
          <w:szCs w:val="28"/>
        </w:rPr>
        <w:t xml:space="preserve">  Quick Reference: Sexual Health in Primary Care</w:t>
      </w:r>
    </w:p>
    <w:p w14:paraId="18497037" w14:textId="77777777" w:rsidR="005233FC" w:rsidRPr="00902BAF" w:rsidRDefault="005233FC">
      <w:pPr>
        <w:spacing w:before="80" w:after="60"/>
        <w:rPr>
          <w:sz w:val="2"/>
          <w:szCs w:val="2"/>
        </w:rPr>
      </w:pP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3200"/>
        <w:gridCol w:w="4306"/>
      </w:tblGrid>
      <w:tr w:rsidR="005233FC" w14:paraId="26B2D309" w14:textId="77777777">
        <w:tblPrEx>
          <w:tblCellMar>
            <w:top w:w="0" w:type="dxa"/>
            <w:bottom w:w="0" w:type="dxa"/>
          </w:tblCellMar>
        </w:tblPrEx>
        <w:trPr>
          <w:tblHeader/>
        </w:trPr>
        <w:tc>
          <w:tcPr>
            <w:tcW w:w="2000" w:type="dxa"/>
            <w:tcBorders>
              <w:top w:val="single" w:sz="1" w:space="0" w:color="1A5C8F"/>
              <w:left w:val="single" w:sz="1" w:space="0" w:color="1A5C8F"/>
              <w:bottom w:val="single" w:sz="1" w:space="0" w:color="1A5C8F"/>
              <w:right w:val="single" w:sz="1" w:space="0" w:color="1A5C8F"/>
            </w:tcBorders>
            <w:shd w:val="clear" w:color="auto" w:fill="1A5C8F"/>
            <w:tcMar>
              <w:top w:w="80" w:type="dxa"/>
              <w:left w:w="120" w:type="dxa"/>
              <w:bottom w:w="80" w:type="dxa"/>
              <w:right w:w="80" w:type="dxa"/>
            </w:tcMar>
          </w:tcPr>
          <w:p w14:paraId="5462B04B" w14:textId="77777777" w:rsidR="005233FC" w:rsidRDefault="00000000">
            <w:r>
              <w:rPr>
                <w:b/>
                <w:bCs/>
                <w:color w:val="FFFFFF"/>
                <w:sz w:val="19"/>
                <w:szCs w:val="19"/>
              </w:rPr>
              <w:t>Condition</w:t>
            </w:r>
          </w:p>
        </w:tc>
        <w:tc>
          <w:tcPr>
            <w:tcW w:w="3200" w:type="dxa"/>
            <w:tcBorders>
              <w:top w:val="single" w:sz="1" w:space="0" w:color="1A5C8F"/>
              <w:left w:val="single" w:sz="1" w:space="0" w:color="1A5C8F"/>
              <w:bottom w:val="single" w:sz="1" w:space="0" w:color="1A5C8F"/>
              <w:right w:val="single" w:sz="1" w:space="0" w:color="1A5C8F"/>
            </w:tcBorders>
            <w:shd w:val="clear" w:color="auto" w:fill="1A5C8F"/>
            <w:tcMar>
              <w:top w:w="80" w:type="dxa"/>
              <w:left w:w="120" w:type="dxa"/>
              <w:bottom w:w="80" w:type="dxa"/>
              <w:right w:w="80" w:type="dxa"/>
            </w:tcMar>
          </w:tcPr>
          <w:p w14:paraId="6911FD91" w14:textId="77777777" w:rsidR="005233FC" w:rsidRDefault="00000000">
            <w:r>
              <w:rPr>
                <w:b/>
                <w:bCs/>
                <w:color w:val="FFFFFF"/>
                <w:sz w:val="19"/>
                <w:szCs w:val="19"/>
              </w:rPr>
              <w:t>Key Assessment</w:t>
            </w:r>
          </w:p>
        </w:tc>
        <w:tc>
          <w:tcPr>
            <w:tcW w:w="4306" w:type="dxa"/>
            <w:tcBorders>
              <w:top w:val="single" w:sz="1" w:space="0" w:color="1A5C8F"/>
              <w:left w:val="single" w:sz="1" w:space="0" w:color="1A5C8F"/>
              <w:bottom w:val="single" w:sz="1" w:space="0" w:color="1A5C8F"/>
              <w:right w:val="single" w:sz="1" w:space="0" w:color="1A5C8F"/>
            </w:tcBorders>
            <w:shd w:val="clear" w:color="auto" w:fill="1A5C8F"/>
            <w:tcMar>
              <w:top w:w="80" w:type="dxa"/>
              <w:left w:w="120" w:type="dxa"/>
              <w:bottom w:w="80" w:type="dxa"/>
              <w:right w:w="80" w:type="dxa"/>
            </w:tcMar>
          </w:tcPr>
          <w:p w14:paraId="72399916" w14:textId="77777777" w:rsidR="005233FC" w:rsidRDefault="00000000">
            <w:r>
              <w:rPr>
                <w:b/>
                <w:bCs/>
                <w:color w:val="FFFFFF"/>
                <w:sz w:val="19"/>
                <w:szCs w:val="19"/>
              </w:rPr>
              <w:t>First-Line Management</w:t>
            </w:r>
          </w:p>
        </w:tc>
      </w:tr>
      <w:tr w:rsidR="005233FC" w14:paraId="4212E62F" w14:textId="77777777">
        <w:tblPrEx>
          <w:tblCellMar>
            <w:top w:w="0" w:type="dxa"/>
            <w:bottom w:w="0" w:type="dxa"/>
          </w:tblCellMar>
        </w:tblPrEx>
        <w:tc>
          <w:tcPr>
            <w:tcW w:w="2000"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3556C56E" w14:textId="77777777" w:rsidR="005233FC" w:rsidRDefault="00000000">
            <w:r>
              <w:rPr>
                <w:b/>
                <w:bCs/>
                <w:color w:val="1A5C8F"/>
                <w:sz w:val="18"/>
                <w:szCs w:val="18"/>
              </w:rPr>
              <w:t>Vaginismus</w:t>
            </w:r>
          </w:p>
        </w:tc>
        <w:tc>
          <w:tcPr>
            <w:tcW w:w="3200"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5CE0D989" w14:textId="77777777" w:rsidR="005233FC" w:rsidRDefault="00000000">
            <w:r>
              <w:rPr>
                <w:color w:val="2C2C2C"/>
                <w:sz w:val="18"/>
                <w:szCs w:val="18"/>
              </w:rPr>
              <w:t>Trauma history, psychosexual assessment, exclude organic causes</w:t>
            </w:r>
          </w:p>
        </w:tc>
        <w:tc>
          <w:tcPr>
            <w:tcW w:w="4306"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39064F09" w14:textId="77777777" w:rsidR="005233FC" w:rsidRDefault="00000000">
            <w:r>
              <w:rPr>
                <w:color w:val="2C2C2C"/>
                <w:sz w:val="18"/>
                <w:szCs w:val="18"/>
              </w:rPr>
              <w:t>Psychosexual counselling + CBT; vaginal dilator therapy. Refer to specialist psychosexual service.</w:t>
            </w:r>
          </w:p>
        </w:tc>
      </w:tr>
      <w:tr w:rsidR="005233FC" w14:paraId="247846EE" w14:textId="77777777">
        <w:tblPrEx>
          <w:tblCellMar>
            <w:top w:w="0" w:type="dxa"/>
            <w:bottom w:w="0" w:type="dxa"/>
          </w:tblCellMar>
        </w:tblPrEx>
        <w:tc>
          <w:tcPr>
            <w:tcW w:w="2000"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6A1571B6" w14:textId="77777777" w:rsidR="005233FC" w:rsidRDefault="00000000">
            <w:r>
              <w:rPr>
                <w:b/>
                <w:bCs/>
                <w:color w:val="1A5C8F"/>
                <w:sz w:val="18"/>
                <w:szCs w:val="18"/>
              </w:rPr>
              <w:t>Erectile Dysfunction (organic)</w:t>
            </w:r>
          </w:p>
        </w:tc>
        <w:tc>
          <w:tcPr>
            <w:tcW w:w="3200"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53B84EBF" w14:textId="77777777" w:rsidR="005233FC" w:rsidRDefault="00000000">
            <w:r>
              <w:rPr>
                <w:color w:val="2C2C2C"/>
                <w:sz w:val="18"/>
                <w:szCs w:val="18"/>
              </w:rPr>
              <w:t>HbA1c, fasting lipids, morning testosterone, QRISK3, BP, urinalysis</w:t>
            </w:r>
          </w:p>
        </w:tc>
        <w:tc>
          <w:tcPr>
            <w:tcW w:w="4306"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60B1EA59" w14:textId="77777777" w:rsidR="005233FC" w:rsidRDefault="00000000">
            <w:r>
              <w:rPr>
                <w:color w:val="2C2C2C"/>
                <w:sz w:val="18"/>
                <w:szCs w:val="18"/>
              </w:rPr>
              <w:t xml:space="preserve">Lifestyle advice, manage comorbidities. Generic sildenafil 50 mg PRN </w:t>
            </w:r>
            <w:proofErr w:type="gramStart"/>
            <w:r>
              <w:rPr>
                <w:color w:val="2C2C2C"/>
                <w:sz w:val="18"/>
                <w:szCs w:val="18"/>
              </w:rPr>
              <w:t>first-line</w:t>
            </w:r>
            <w:proofErr w:type="gramEnd"/>
            <w:r>
              <w:rPr>
                <w:color w:val="2C2C2C"/>
                <w:sz w:val="18"/>
                <w:szCs w:val="18"/>
              </w:rPr>
              <w:t>. Contraindicated with nitrates.</w:t>
            </w:r>
          </w:p>
        </w:tc>
      </w:tr>
      <w:tr w:rsidR="005233FC" w14:paraId="6A2E01D4" w14:textId="77777777">
        <w:tblPrEx>
          <w:tblCellMar>
            <w:top w:w="0" w:type="dxa"/>
            <w:bottom w:w="0" w:type="dxa"/>
          </w:tblCellMar>
        </w:tblPrEx>
        <w:tc>
          <w:tcPr>
            <w:tcW w:w="2000"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3545CFD5" w14:textId="77777777" w:rsidR="005233FC" w:rsidRDefault="00000000">
            <w:r>
              <w:rPr>
                <w:b/>
                <w:bCs/>
                <w:color w:val="1A5C8F"/>
                <w:sz w:val="18"/>
                <w:szCs w:val="18"/>
              </w:rPr>
              <w:t>Erectile Dysfunction (psychosocial)</w:t>
            </w:r>
          </w:p>
        </w:tc>
        <w:tc>
          <w:tcPr>
            <w:tcW w:w="3200"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52430122" w14:textId="77777777" w:rsidR="005233FC" w:rsidRDefault="00000000">
            <w:r>
              <w:rPr>
                <w:color w:val="2C2C2C"/>
                <w:sz w:val="18"/>
                <w:szCs w:val="18"/>
              </w:rPr>
              <w:t>Screen for depression, life stressors, relationship issues, bereavement</w:t>
            </w:r>
          </w:p>
        </w:tc>
        <w:tc>
          <w:tcPr>
            <w:tcW w:w="4306"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6F8F5EA0" w14:textId="77777777" w:rsidR="005233FC" w:rsidRDefault="00000000">
            <w:r>
              <w:rPr>
                <w:color w:val="2C2C2C"/>
                <w:sz w:val="18"/>
                <w:szCs w:val="18"/>
              </w:rPr>
              <w:t>CBT / psychosexual therapy. PDE-5 inhibitor can be used alongside to restore confidence.</w:t>
            </w:r>
          </w:p>
        </w:tc>
      </w:tr>
      <w:tr w:rsidR="005233FC" w14:paraId="69C82F18" w14:textId="77777777">
        <w:tblPrEx>
          <w:tblCellMar>
            <w:top w:w="0" w:type="dxa"/>
            <w:bottom w:w="0" w:type="dxa"/>
          </w:tblCellMar>
        </w:tblPrEx>
        <w:tc>
          <w:tcPr>
            <w:tcW w:w="2000"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02091CD4" w14:textId="77777777" w:rsidR="005233FC" w:rsidRDefault="00000000">
            <w:r>
              <w:rPr>
                <w:b/>
                <w:bCs/>
                <w:color w:val="1A5C8F"/>
                <w:sz w:val="18"/>
                <w:szCs w:val="18"/>
              </w:rPr>
              <w:t>Chlamydia</w:t>
            </w:r>
          </w:p>
        </w:tc>
        <w:tc>
          <w:tcPr>
            <w:tcW w:w="3200"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32A39954" w14:textId="77777777" w:rsidR="005233FC" w:rsidRDefault="00000000">
            <w:r>
              <w:rPr>
                <w:color w:val="2C2C2C"/>
                <w:sz w:val="18"/>
                <w:szCs w:val="18"/>
              </w:rPr>
              <w:t>NAAT swab; consider full STI screen; assess partners</w:t>
            </w:r>
          </w:p>
        </w:tc>
        <w:tc>
          <w:tcPr>
            <w:tcW w:w="4306"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493DFAB8" w14:textId="77777777" w:rsidR="005233FC" w:rsidRDefault="00000000">
            <w:r>
              <w:rPr>
                <w:color w:val="2C2C2C"/>
                <w:sz w:val="18"/>
                <w:szCs w:val="18"/>
              </w:rPr>
              <w:t>Doxycycline 100 mg BD × 7 days (first-line). Partner notification essential. TOC not routine.</w:t>
            </w:r>
          </w:p>
        </w:tc>
      </w:tr>
      <w:tr w:rsidR="005233FC" w14:paraId="40B8E7D1" w14:textId="77777777">
        <w:tblPrEx>
          <w:tblCellMar>
            <w:top w:w="0" w:type="dxa"/>
            <w:bottom w:w="0" w:type="dxa"/>
          </w:tblCellMar>
        </w:tblPrEx>
        <w:tc>
          <w:tcPr>
            <w:tcW w:w="2000"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3FC3AC25" w14:textId="77777777" w:rsidR="005233FC" w:rsidRDefault="00000000">
            <w:r>
              <w:rPr>
                <w:b/>
                <w:bCs/>
                <w:color w:val="1A5C8F"/>
                <w:sz w:val="18"/>
                <w:szCs w:val="18"/>
              </w:rPr>
              <w:t>Bacterial Vaginosis</w:t>
            </w:r>
          </w:p>
        </w:tc>
        <w:tc>
          <w:tcPr>
            <w:tcW w:w="3200"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50AFEE04" w14:textId="77777777" w:rsidR="005233FC" w:rsidRDefault="00000000">
            <w:r>
              <w:rPr>
                <w:color w:val="2C2C2C"/>
                <w:sz w:val="18"/>
                <w:szCs w:val="18"/>
              </w:rPr>
              <w:t>Clinical diagnosis; Amsel criteria or Whiff test; pH &gt;4.5</w:t>
            </w:r>
          </w:p>
        </w:tc>
        <w:tc>
          <w:tcPr>
            <w:tcW w:w="4306" w:type="dxa"/>
            <w:tcBorders>
              <w:top w:val="single" w:sz="1" w:space="0" w:color="D0D0D0"/>
              <w:left w:val="single" w:sz="1" w:space="0" w:color="D0D0D0"/>
              <w:bottom w:val="single" w:sz="1" w:space="0" w:color="D0D0D0"/>
              <w:right w:val="single" w:sz="1" w:space="0" w:color="D0D0D0"/>
            </w:tcBorders>
            <w:shd w:val="clear" w:color="auto" w:fill="F7F7F7"/>
            <w:tcMar>
              <w:top w:w="80" w:type="dxa"/>
              <w:left w:w="120" w:type="dxa"/>
              <w:bottom w:w="80" w:type="dxa"/>
              <w:right w:w="80" w:type="dxa"/>
            </w:tcMar>
          </w:tcPr>
          <w:p w14:paraId="084B02D9" w14:textId="77777777" w:rsidR="005233FC" w:rsidRDefault="00000000">
            <w:r>
              <w:rPr>
                <w:color w:val="2C2C2C"/>
                <w:sz w:val="18"/>
                <w:szCs w:val="18"/>
              </w:rPr>
              <w:t>Metronidazole 400 mg BD × 5–7 days. Avoid alcohol during treatment and 48 hrs after.</w:t>
            </w:r>
          </w:p>
        </w:tc>
      </w:tr>
      <w:tr w:rsidR="005233FC" w14:paraId="1A3A228A" w14:textId="77777777">
        <w:tblPrEx>
          <w:tblCellMar>
            <w:top w:w="0" w:type="dxa"/>
            <w:bottom w:w="0" w:type="dxa"/>
          </w:tblCellMar>
        </w:tblPrEx>
        <w:tc>
          <w:tcPr>
            <w:tcW w:w="2000"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10A2247B" w14:textId="77777777" w:rsidR="005233FC" w:rsidRDefault="00000000">
            <w:r>
              <w:rPr>
                <w:b/>
                <w:bCs/>
                <w:color w:val="1A5C8F"/>
                <w:sz w:val="18"/>
                <w:szCs w:val="18"/>
              </w:rPr>
              <w:t>BBV Risk (IV drug use history)</w:t>
            </w:r>
          </w:p>
        </w:tc>
        <w:tc>
          <w:tcPr>
            <w:tcW w:w="3200"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375E3736" w14:textId="77777777" w:rsidR="005233FC" w:rsidRDefault="00000000">
            <w:r>
              <w:rPr>
                <w:color w:val="2C2C2C"/>
                <w:sz w:val="18"/>
                <w:szCs w:val="18"/>
              </w:rPr>
              <w:t xml:space="preserve">HIV, </w:t>
            </w:r>
            <w:proofErr w:type="spellStart"/>
            <w:r>
              <w:rPr>
                <w:color w:val="2C2C2C"/>
                <w:sz w:val="18"/>
                <w:szCs w:val="18"/>
              </w:rPr>
              <w:t>HepB</w:t>
            </w:r>
            <w:proofErr w:type="spellEnd"/>
            <w:r>
              <w:rPr>
                <w:color w:val="2C2C2C"/>
                <w:sz w:val="18"/>
                <w:szCs w:val="18"/>
              </w:rPr>
              <w:t xml:space="preserve">, </w:t>
            </w:r>
            <w:proofErr w:type="spellStart"/>
            <w:r>
              <w:rPr>
                <w:color w:val="2C2C2C"/>
                <w:sz w:val="18"/>
                <w:szCs w:val="18"/>
              </w:rPr>
              <w:t>HepC</w:t>
            </w:r>
            <w:proofErr w:type="spellEnd"/>
            <w:r>
              <w:rPr>
                <w:color w:val="2C2C2C"/>
                <w:sz w:val="18"/>
                <w:szCs w:val="18"/>
              </w:rPr>
              <w:t xml:space="preserve"> serology; STI screen; window period counselling</w:t>
            </w:r>
          </w:p>
        </w:tc>
        <w:tc>
          <w:tcPr>
            <w:tcW w:w="4306" w:type="dxa"/>
            <w:tcBorders>
              <w:top w:val="single" w:sz="1" w:space="0" w:color="D0D0D0"/>
              <w:left w:val="single" w:sz="1" w:space="0" w:color="D0D0D0"/>
              <w:bottom w:val="single" w:sz="1" w:space="0" w:color="D0D0D0"/>
              <w:right w:val="single" w:sz="1" w:space="0" w:color="D0D0D0"/>
            </w:tcBorders>
            <w:shd w:val="clear" w:color="auto" w:fill="FFFFFF"/>
            <w:tcMar>
              <w:top w:w="80" w:type="dxa"/>
              <w:left w:w="120" w:type="dxa"/>
              <w:bottom w:w="80" w:type="dxa"/>
              <w:right w:w="80" w:type="dxa"/>
            </w:tcMar>
          </w:tcPr>
          <w:p w14:paraId="3478D2C2" w14:textId="77777777" w:rsidR="005233FC" w:rsidRDefault="00000000">
            <w:r>
              <w:rPr>
                <w:color w:val="2C2C2C"/>
                <w:sz w:val="18"/>
                <w:szCs w:val="18"/>
              </w:rPr>
              <w:t xml:space="preserve">Condom advice, </w:t>
            </w:r>
            <w:proofErr w:type="spellStart"/>
            <w:r>
              <w:rPr>
                <w:color w:val="2C2C2C"/>
                <w:sz w:val="18"/>
                <w:szCs w:val="18"/>
              </w:rPr>
              <w:t>HepB</w:t>
            </w:r>
            <w:proofErr w:type="spellEnd"/>
            <w:r>
              <w:rPr>
                <w:color w:val="2C2C2C"/>
                <w:sz w:val="18"/>
                <w:szCs w:val="18"/>
              </w:rPr>
              <w:t xml:space="preserve"> vaccination if non-immune. Refer to GUM/ID if positive. Discuss </w:t>
            </w:r>
            <w:proofErr w:type="spellStart"/>
            <w:r>
              <w:rPr>
                <w:color w:val="2C2C2C"/>
                <w:sz w:val="18"/>
                <w:szCs w:val="18"/>
              </w:rPr>
              <w:t>PrEP</w:t>
            </w:r>
            <w:proofErr w:type="spellEnd"/>
            <w:r>
              <w:rPr>
                <w:color w:val="2C2C2C"/>
                <w:sz w:val="18"/>
                <w:szCs w:val="18"/>
              </w:rPr>
              <w:t xml:space="preserve"> if ongoing risk.</w:t>
            </w:r>
          </w:p>
        </w:tc>
      </w:tr>
    </w:tbl>
    <w:p w14:paraId="434BB53D" w14:textId="77777777" w:rsidR="005233FC" w:rsidRDefault="005233FC">
      <w:pPr>
        <w:spacing w:before="120" w:after="80"/>
      </w:pP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506"/>
      </w:tblGrid>
      <w:tr w:rsidR="005233FC" w14:paraId="2A77246A" w14:textId="77777777">
        <w:tblPrEx>
          <w:tblCellMar>
            <w:top w:w="0" w:type="dxa"/>
            <w:bottom w:w="0" w:type="dxa"/>
          </w:tblCellMar>
        </w:tblPrEx>
        <w:tc>
          <w:tcPr>
            <w:tcW w:w="9506" w:type="dxa"/>
            <w:tcBorders>
              <w:top w:val="single" w:sz="1" w:space="0" w:color="A80000"/>
              <w:left w:val="single" w:sz="12" w:space="0" w:color="A80000"/>
              <w:bottom w:val="single" w:sz="1" w:space="0" w:color="A80000"/>
              <w:right w:val="single" w:sz="1" w:space="0" w:color="D0D0D0"/>
            </w:tcBorders>
            <w:shd w:val="clear" w:color="auto" w:fill="FFF0F0"/>
            <w:tcMar>
              <w:top w:w="120" w:type="dxa"/>
              <w:left w:w="160" w:type="dxa"/>
              <w:bottom w:w="120" w:type="dxa"/>
              <w:right w:w="160" w:type="dxa"/>
            </w:tcMar>
          </w:tcPr>
          <w:p w14:paraId="4A74CC56" w14:textId="77777777" w:rsidR="005233FC" w:rsidRDefault="00000000">
            <w:pPr>
              <w:spacing w:after="40"/>
            </w:pPr>
            <w:r>
              <w:rPr>
                <w:b/>
                <w:bCs/>
                <w:color w:val="A80000"/>
              </w:rPr>
              <w:t>🚫</w:t>
            </w:r>
            <w:r>
              <w:rPr>
                <w:b/>
                <w:bCs/>
                <w:color w:val="2C2C2C"/>
              </w:rPr>
              <w:t xml:space="preserve"> ABSOLUTE CONTRAINDICATION: PDE-5 Inhibitors + Nitrates</w:t>
            </w:r>
          </w:p>
          <w:p w14:paraId="7DCFDDA6" w14:textId="77777777" w:rsidR="005233FC" w:rsidRDefault="00000000">
            <w:pPr>
              <w:spacing w:before="40" w:after="40"/>
            </w:pPr>
            <w:r>
              <w:rPr>
                <w:color w:val="2C2C2C"/>
              </w:rPr>
              <w:t xml:space="preserve"> You must NEVER co-prescribe sildenafil, tadalafil, or vardenafil with any nitrate (GTN, isosorbide mononitrate/dinitrate), nicorandil, or nitric oxide donor (including amyl nitrite). This combination causes severe, potentially fatal hypotension. Before prescribing any PDE-5 inhibitor, always check current medication list.</w:t>
            </w:r>
          </w:p>
        </w:tc>
      </w:tr>
    </w:tbl>
    <w:p w14:paraId="37BCBAC5" w14:textId="77777777" w:rsidR="005233FC" w:rsidRDefault="005233FC">
      <w:pPr>
        <w:spacing w:before="80" w:after="80"/>
      </w:pP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506"/>
      </w:tblGrid>
      <w:tr w:rsidR="005233FC" w14:paraId="1F239AF2" w14:textId="77777777">
        <w:tblPrEx>
          <w:tblCellMar>
            <w:top w:w="0" w:type="dxa"/>
            <w:bottom w:w="0" w:type="dxa"/>
          </w:tblCellMar>
        </w:tblPrEx>
        <w:tc>
          <w:tcPr>
            <w:tcW w:w="9506" w:type="dxa"/>
            <w:tcBorders>
              <w:top w:val="single" w:sz="1" w:space="0" w:color="C75B00"/>
              <w:left w:val="single" w:sz="12" w:space="0" w:color="C75B00"/>
              <w:bottom w:val="single" w:sz="1" w:space="0" w:color="C75B00"/>
              <w:right w:val="single" w:sz="1" w:space="0" w:color="D0D0D0"/>
            </w:tcBorders>
            <w:shd w:val="clear" w:color="auto" w:fill="FFF8F0"/>
            <w:tcMar>
              <w:top w:w="120" w:type="dxa"/>
              <w:left w:w="160" w:type="dxa"/>
              <w:bottom w:w="120" w:type="dxa"/>
              <w:right w:w="160" w:type="dxa"/>
            </w:tcMar>
          </w:tcPr>
          <w:p w14:paraId="5E55DD40" w14:textId="77777777" w:rsidR="005233FC" w:rsidRDefault="00000000">
            <w:pPr>
              <w:spacing w:after="40"/>
            </w:pPr>
            <w:r>
              <w:rPr>
                <w:b/>
                <w:bCs/>
                <w:color w:val="C75B00"/>
              </w:rPr>
              <w:t>⚠</w:t>
            </w:r>
            <w:r>
              <w:rPr>
                <w:b/>
                <w:bCs/>
                <w:color w:val="2C2C2C"/>
              </w:rPr>
              <w:t xml:space="preserve"> Doxycycline in Pregnancy — Absolutely Contraindicated</w:t>
            </w:r>
          </w:p>
          <w:p w14:paraId="1F15B73E" w14:textId="77777777" w:rsidR="005233FC" w:rsidRDefault="00000000">
            <w:pPr>
              <w:spacing w:before="40" w:after="40"/>
            </w:pPr>
            <w:r>
              <w:rPr>
                <w:color w:val="2C2C2C"/>
              </w:rPr>
              <w:t xml:space="preserve"> Do NOT prescribe doxycycline to pregnant or breastfeeding women. For chlamydia in pregnancy, use azithromycin (</w:t>
            </w:r>
            <w:proofErr w:type="gramStart"/>
            <w:r>
              <w:rPr>
                <w:color w:val="2C2C2C"/>
              </w:rPr>
              <w:t>off-label</w:t>
            </w:r>
            <w:proofErr w:type="gramEnd"/>
            <w:r>
              <w:rPr>
                <w:color w:val="2C2C2C"/>
              </w:rPr>
              <w:t>, with caution) or erythromycin. Always check for pregnancy before prescribing.</w:t>
            </w:r>
          </w:p>
        </w:tc>
      </w:tr>
    </w:tbl>
    <w:p w14:paraId="33FBEC17" w14:textId="77777777" w:rsidR="005233FC" w:rsidRDefault="005233FC">
      <w:pPr>
        <w:spacing w:before="80" w:after="80"/>
      </w:pP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506"/>
      </w:tblGrid>
      <w:tr w:rsidR="005233FC" w14:paraId="03E76B9F" w14:textId="77777777">
        <w:tblPrEx>
          <w:tblCellMar>
            <w:top w:w="0" w:type="dxa"/>
            <w:bottom w:w="0" w:type="dxa"/>
          </w:tblCellMar>
        </w:tblPrEx>
        <w:tc>
          <w:tcPr>
            <w:tcW w:w="9506" w:type="dxa"/>
            <w:tcBorders>
              <w:top w:val="single" w:sz="1" w:space="0" w:color="1D7A6E"/>
              <w:left w:val="single" w:sz="10" w:space="0" w:color="1D7A6E"/>
              <w:bottom w:val="single" w:sz="1" w:space="0" w:color="1D7A6E"/>
              <w:right w:val="single" w:sz="1" w:space="0" w:color="D0D0D0"/>
            </w:tcBorders>
            <w:shd w:val="clear" w:color="auto" w:fill="F0FAF6"/>
            <w:tcMar>
              <w:top w:w="120" w:type="dxa"/>
              <w:left w:w="160" w:type="dxa"/>
              <w:bottom w:w="120" w:type="dxa"/>
              <w:right w:w="160" w:type="dxa"/>
            </w:tcMar>
          </w:tcPr>
          <w:p w14:paraId="629CEE58" w14:textId="77777777" w:rsidR="005233FC" w:rsidRDefault="00000000">
            <w:pPr>
              <w:spacing w:after="80"/>
            </w:pPr>
            <w:r>
              <w:rPr>
                <w:b/>
                <w:bCs/>
                <w:color w:val="1D7A6E"/>
              </w:rPr>
              <w:t>Key Referral Thresholds</w:t>
            </w:r>
          </w:p>
          <w:p w14:paraId="39708474" w14:textId="77777777" w:rsidR="005233FC" w:rsidRDefault="00000000">
            <w:pPr>
              <w:pStyle w:val="ListParagraph"/>
              <w:numPr>
                <w:ilvl w:val="0"/>
                <w:numId w:val="2"/>
              </w:numPr>
              <w:spacing w:after="60"/>
            </w:pPr>
            <w:r>
              <w:rPr>
                <w:color w:val="2C2C2C"/>
                <w:sz w:val="19"/>
                <w:szCs w:val="19"/>
              </w:rPr>
              <w:t>Vaginismus / Genito-Pelvic Pain Disorder: refer to specialist psychosexual service if not improving with primary care management.</w:t>
            </w:r>
          </w:p>
          <w:p w14:paraId="2C9631DB" w14:textId="77777777" w:rsidR="005233FC" w:rsidRDefault="00000000">
            <w:pPr>
              <w:pStyle w:val="ListParagraph"/>
              <w:numPr>
                <w:ilvl w:val="0"/>
                <w:numId w:val="2"/>
              </w:numPr>
              <w:spacing w:after="60"/>
            </w:pPr>
            <w:r>
              <w:rPr>
                <w:color w:val="2C2C2C"/>
                <w:sz w:val="19"/>
                <w:szCs w:val="19"/>
              </w:rPr>
              <w:t>ED with suspected hypogonadism: refer to endocrinology if testosterone is confirmed low on two separate morning samples.</w:t>
            </w:r>
          </w:p>
          <w:p w14:paraId="19035EA0" w14:textId="77777777" w:rsidR="005233FC" w:rsidRDefault="00000000">
            <w:pPr>
              <w:pStyle w:val="ListParagraph"/>
              <w:numPr>
                <w:ilvl w:val="0"/>
                <w:numId w:val="2"/>
              </w:numPr>
              <w:spacing w:after="60"/>
            </w:pPr>
            <w:r>
              <w:rPr>
                <w:color w:val="2C2C2C"/>
                <w:sz w:val="19"/>
                <w:szCs w:val="19"/>
              </w:rPr>
              <w:t>ED failing two different PDE-5 inhibitors at maximum dose (4–8 adequate attempts with each): refer to urology.</w:t>
            </w:r>
          </w:p>
          <w:p w14:paraId="3151DF37" w14:textId="77777777" w:rsidR="005233FC" w:rsidRDefault="00000000">
            <w:pPr>
              <w:pStyle w:val="ListParagraph"/>
              <w:numPr>
                <w:ilvl w:val="0"/>
                <w:numId w:val="2"/>
              </w:numPr>
              <w:spacing w:after="60"/>
            </w:pPr>
            <w:r>
              <w:rPr>
                <w:color w:val="2C2C2C"/>
                <w:sz w:val="19"/>
                <w:szCs w:val="19"/>
              </w:rPr>
              <w:t xml:space="preserve">Chlamydia with signs of PID (adnexal tenderness, pelvic pain, fever): same-day assessment / GUM referral. Consider in-patient treatment </w:t>
            </w:r>
            <w:proofErr w:type="spellStart"/>
            <w:r>
              <w:rPr>
                <w:color w:val="2C2C2C"/>
                <w:sz w:val="19"/>
                <w:szCs w:val="19"/>
              </w:rPr>
              <w:t>if</w:t>
            </w:r>
            <w:proofErr w:type="spellEnd"/>
            <w:r>
              <w:rPr>
                <w:color w:val="2C2C2C"/>
                <w:sz w:val="19"/>
                <w:szCs w:val="19"/>
              </w:rPr>
              <w:t xml:space="preserve"> severe.</w:t>
            </w:r>
          </w:p>
          <w:p w14:paraId="2CED1893" w14:textId="77777777" w:rsidR="005233FC" w:rsidRDefault="00000000">
            <w:pPr>
              <w:pStyle w:val="ListParagraph"/>
              <w:numPr>
                <w:ilvl w:val="0"/>
                <w:numId w:val="2"/>
              </w:numPr>
              <w:spacing w:after="60"/>
            </w:pPr>
            <w:r>
              <w:rPr>
                <w:color w:val="2C2C2C"/>
                <w:sz w:val="19"/>
                <w:szCs w:val="19"/>
              </w:rPr>
              <w:t>Positive HIV result: refer urgently to GUM / HIV specialist on the same day.</w:t>
            </w:r>
          </w:p>
          <w:p w14:paraId="1ED47FD8" w14:textId="77777777" w:rsidR="005233FC" w:rsidRDefault="00000000">
            <w:pPr>
              <w:pStyle w:val="ListParagraph"/>
              <w:numPr>
                <w:ilvl w:val="0"/>
                <w:numId w:val="2"/>
              </w:numPr>
              <w:spacing w:after="60"/>
            </w:pPr>
            <w:r>
              <w:rPr>
                <w:color w:val="2C2C2C"/>
                <w:sz w:val="19"/>
                <w:szCs w:val="19"/>
              </w:rPr>
              <w:t>Positive hepatitis C: refer to hepatology or specialist GI/ID service for assessment and treatment.</w:t>
            </w:r>
          </w:p>
          <w:p w14:paraId="59393D09" w14:textId="77777777" w:rsidR="005233FC" w:rsidRDefault="00000000">
            <w:pPr>
              <w:pStyle w:val="ListParagraph"/>
              <w:numPr>
                <w:ilvl w:val="0"/>
                <w:numId w:val="2"/>
              </w:numPr>
              <w:spacing w:after="60"/>
            </w:pPr>
            <w:r>
              <w:rPr>
                <w:color w:val="2C2C2C"/>
                <w:sz w:val="19"/>
                <w:szCs w:val="19"/>
              </w:rPr>
              <w:t>Any STI in the context of safeguarding concerns (minors, coercion, trafficking): follow safeguarding procedures immediately.</w:t>
            </w:r>
          </w:p>
        </w:tc>
      </w:tr>
    </w:tbl>
    <w:p w14:paraId="0F70C21F" w14:textId="203E5C6E" w:rsidR="005233FC" w:rsidRDefault="005233FC" w:rsidP="00902BAF"/>
    <w:sectPr w:rsidR="005233FC">
      <w:footerReference w:type="default" r:id="rId7"/>
      <w:pgSz w:w="11906" w:h="16838"/>
      <w:pgMar w:top="1200" w:right="1200" w:bottom="1400" w:left="12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2523B" w14:textId="77777777" w:rsidR="003E2520" w:rsidRDefault="003E2520">
      <w:r>
        <w:separator/>
      </w:r>
    </w:p>
  </w:endnote>
  <w:endnote w:type="continuationSeparator" w:id="0">
    <w:p w14:paraId="5863DFED" w14:textId="77777777" w:rsidR="003E2520" w:rsidRDefault="003E2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9EEE4" w14:textId="148FFE2E" w:rsidR="005233FC" w:rsidRDefault="00000000">
    <w:pPr>
      <w:pBdr>
        <w:top w:val="single" w:sz="4" w:space="4" w:color="D0D0D0"/>
      </w:pBdr>
      <w:spacing w:before="80"/>
    </w:pPr>
    <w:r>
      <w:rPr>
        <w:color w:val="888888"/>
        <w:sz w:val="16"/>
        <w:szCs w:val="16"/>
      </w:rPr>
      <w:t xml:space="preserve">Bradford VTS Teaching </w:t>
    </w:r>
    <w:proofErr w:type="gramStart"/>
    <w:r>
      <w:rPr>
        <w:color w:val="888888"/>
        <w:sz w:val="16"/>
        <w:szCs w:val="16"/>
      </w:rPr>
      <w:t>Aids  |</w:t>
    </w:r>
    <w:proofErr w:type="gramEnd"/>
    <w:r>
      <w:rPr>
        <w:color w:val="888888"/>
        <w:sz w:val="16"/>
        <w:szCs w:val="16"/>
      </w:rPr>
      <w:t xml:space="preserve"> </w:t>
    </w:r>
    <w:r w:rsidR="00902BAF">
      <w:rPr>
        <w:color w:val="888888"/>
        <w:sz w:val="16"/>
        <w:szCs w:val="16"/>
      </w:rPr>
      <w:t xml:space="preserve">Quick Reference Guide Sexual </w:t>
    </w:r>
    <w:proofErr w:type="gramStart"/>
    <w:r w:rsidR="00902BAF">
      <w:rPr>
        <w:color w:val="888888"/>
        <w:sz w:val="16"/>
        <w:szCs w:val="16"/>
      </w:rPr>
      <w:t>Problems</w:t>
    </w:r>
    <w:r>
      <w:rPr>
        <w:color w:val="888888"/>
        <w:sz w:val="16"/>
        <w:szCs w:val="16"/>
      </w:rPr>
      <w:t xml:space="preserve">  |</w:t>
    </w:r>
    <w:proofErr w:type="gramEnd"/>
    <w:r>
      <w:rPr>
        <w:color w:val="888888"/>
        <w:sz w:val="16"/>
        <w:szCs w:val="16"/>
      </w:rPr>
      <w:t xml:space="preserve">  May 2026   Page   </w:t>
    </w:r>
  </w:p>
  <w:p w14:paraId="71CE84A1" w14:textId="77777777" w:rsidR="005233FC" w:rsidRDefault="00000000">
    <w:pPr>
      <w:spacing w:before="40"/>
    </w:pPr>
    <w:r>
      <w:rPr>
        <w:i/>
        <w:iCs/>
        <w:color w:val="AAAAAA"/>
        <w:sz w:val="14"/>
        <w:szCs w:val="14"/>
      </w:rPr>
      <w:t>DISCLAIMER: 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09BA8" w14:textId="77777777" w:rsidR="003E2520" w:rsidRDefault="003E2520">
      <w:r>
        <w:separator/>
      </w:r>
    </w:p>
  </w:footnote>
  <w:footnote w:type="continuationSeparator" w:id="0">
    <w:p w14:paraId="05A68E84" w14:textId="77777777" w:rsidR="003E2520" w:rsidRDefault="003E25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B5CC3"/>
    <w:multiLevelType w:val="hybridMultilevel"/>
    <w:tmpl w:val="F6E69E1E"/>
    <w:lvl w:ilvl="0" w:tplc="634E1728">
      <w:start w:val="1"/>
      <w:numFmt w:val="bullet"/>
      <w:lvlText w:val="•"/>
      <w:lvlJc w:val="left"/>
      <w:pPr>
        <w:ind w:left="540" w:hanging="260"/>
      </w:pPr>
    </w:lvl>
    <w:lvl w:ilvl="1" w:tplc="C7766F88">
      <w:numFmt w:val="decimal"/>
      <w:lvlText w:val=""/>
      <w:lvlJc w:val="left"/>
    </w:lvl>
    <w:lvl w:ilvl="2" w:tplc="0E985E5C">
      <w:numFmt w:val="decimal"/>
      <w:lvlText w:val=""/>
      <w:lvlJc w:val="left"/>
    </w:lvl>
    <w:lvl w:ilvl="3" w:tplc="4FE6B500">
      <w:numFmt w:val="decimal"/>
      <w:lvlText w:val=""/>
      <w:lvlJc w:val="left"/>
    </w:lvl>
    <w:lvl w:ilvl="4" w:tplc="76F89F4E">
      <w:numFmt w:val="decimal"/>
      <w:lvlText w:val=""/>
      <w:lvlJc w:val="left"/>
    </w:lvl>
    <w:lvl w:ilvl="5" w:tplc="21565CD6">
      <w:numFmt w:val="decimal"/>
      <w:lvlText w:val=""/>
      <w:lvlJc w:val="left"/>
    </w:lvl>
    <w:lvl w:ilvl="6" w:tplc="D498555A">
      <w:numFmt w:val="decimal"/>
      <w:lvlText w:val=""/>
      <w:lvlJc w:val="left"/>
    </w:lvl>
    <w:lvl w:ilvl="7" w:tplc="AEA8D8A6">
      <w:numFmt w:val="decimal"/>
      <w:lvlText w:val=""/>
      <w:lvlJc w:val="left"/>
    </w:lvl>
    <w:lvl w:ilvl="8" w:tplc="D8361154">
      <w:numFmt w:val="decimal"/>
      <w:lvlText w:val=""/>
      <w:lvlJc w:val="left"/>
    </w:lvl>
  </w:abstractNum>
  <w:abstractNum w:abstractNumId="1" w15:restartNumberingAfterBreak="0">
    <w:nsid w:val="67DC2705"/>
    <w:multiLevelType w:val="hybridMultilevel"/>
    <w:tmpl w:val="375E8098"/>
    <w:lvl w:ilvl="0" w:tplc="AE56B556">
      <w:start w:val="1"/>
      <w:numFmt w:val="bullet"/>
      <w:lvlText w:val="●"/>
      <w:lvlJc w:val="left"/>
      <w:pPr>
        <w:ind w:left="720" w:hanging="360"/>
      </w:pPr>
    </w:lvl>
    <w:lvl w:ilvl="1" w:tplc="34646A4C">
      <w:start w:val="1"/>
      <w:numFmt w:val="bullet"/>
      <w:lvlText w:val="○"/>
      <w:lvlJc w:val="left"/>
      <w:pPr>
        <w:ind w:left="1440" w:hanging="360"/>
      </w:pPr>
    </w:lvl>
    <w:lvl w:ilvl="2" w:tplc="876EF6F8">
      <w:start w:val="1"/>
      <w:numFmt w:val="bullet"/>
      <w:lvlText w:val="■"/>
      <w:lvlJc w:val="left"/>
      <w:pPr>
        <w:ind w:left="2160" w:hanging="360"/>
      </w:pPr>
    </w:lvl>
    <w:lvl w:ilvl="3" w:tplc="3416A048">
      <w:start w:val="1"/>
      <w:numFmt w:val="bullet"/>
      <w:lvlText w:val="●"/>
      <w:lvlJc w:val="left"/>
      <w:pPr>
        <w:ind w:left="2880" w:hanging="360"/>
      </w:pPr>
    </w:lvl>
    <w:lvl w:ilvl="4" w:tplc="6FA47222">
      <w:start w:val="1"/>
      <w:numFmt w:val="bullet"/>
      <w:lvlText w:val="○"/>
      <w:lvlJc w:val="left"/>
      <w:pPr>
        <w:ind w:left="3600" w:hanging="360"/>
      </w:pPr>
    </w:lvl>
    <w:lvl w:ilvl="5" w:tplc="036A4200">
      <w:start w:val="1"/>
      <w:numFmt w:val="bullet"/>
      <w:lvlText w:val="■"/>
      <w:lvlJc w:val="left"/>
      <w:pPr>
        <w:ind w:left="4320" w:hanging="360"/>
      </w:pPr>
    </w:lvl>
    <w:lvl w:ilvl="6" w:tplc="88406636">
      <w:start w:val="1"/>
      <w:numFmt w:val="bullet"/>
      <w:lvlText w:val="●"/>
      <w:lvlJc w:val="left"/>
      <w:pPr>
        <w:ind w:left="5040" w:hanging="360"/>
      </w:pPr>
    </w:lvl>
    <w:lvl w:ilvl="7" w:tplc="9AE261AA">
      <w:start w:val="1"/>
      <w:numFmt w:val="bullet"/>
      <w:lvlText w:val="●"/>
      <w:lvlJc w:val="left"/>
      <w:pPr>
        <w:ind w:left="5760" w:hanging="360"/>
      </w:pPr>
    </w:lvl>
    <w:lvl w:ilvl="8" w:tplc="0A42FD3A">
      <w:start w:val="1"/>
      <w:numFmt w:val="bullet"/>
      <w:lvlText w:val="●"/>
      <w:lvlJc w:val="left"/>
      <w:pPr>
        <w:ind w:left="6480" w:hanging="360"/>
      </w:pPr>
    </w:lvl>
  </w:abstractNum>
  <w:num w:numId="1" w16cid:durableId="1227958948">
    <w:abstractNumId w:val="1"/>
    <w:lvlOverride w:ilvl="0">
      <w:startOverride w:val="1"/>
    </w:lvlOverride>
  </w:num>
  <w:num w:numId="2" w16cid:durableId="71396233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3FC"/>
    <w:rsid w:val="003E2520"/>
    <w:rsid w:val="005233FC"/>
    <w:rsid w:val="00737EA8"/>
    <w:rsid w:val="00902BAF"/>
    <w:rsid w:val="00BE02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8F46"/>
  <w15:docId w15:val="{C35E9074-8976-4452-9118-F91CD9007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902BAF"/>
    <w:pPr>
      <w:tabs>
        <w:tab w:val="center" w:pos="4513"/>
        <w:tab w:val="right" w:pos="9026"/>
      </w:tabs>
    </w:pPr>
  </w:style>
  <w:style w:type="character" w:customStyle="1" w:styleId="HeaderChar">
    <w:name w:val="Header Char"/>
    <w:basedOn w:val="DefaultParagraphFont"/>
    <w:link w:val="Header"/>
    <w:uiPriority w:val="99"/>
    <w:rsid w:val="00902BAF"/>
  </w:style>
  <w:style w:type="paragraph" w:styleId="Footer">
    <w:name w:val="footer"/>
    <w:basedOn w:val="Normal"/>
    <w:link w:val="FooterChar"/>
    <w:uiPriority w:val="99"/>
    <w:unhideWhenUsed/>
    <w:rsid w:val="00902BAF"/>
    <w:pPr>
      <w:tabs>
        <w:tab w:val="center" w:pos="4513"/>
        <w:tab w:val="right" w:pos="9026"/>
      </w:tabs>
    </w:pPr>
  </w:style>
  <w:style w:type="character" w:customStyle="1" w:styleId="FooterChar">
    <w:name w:val="Footer Char"/>
    <w:basedOn w:val="DefaultParagraphFont"/>
    <w:link w:val="Footer"/>
    <w:uiPriority w:val="99"/>
    <w:rsid w:val="00902B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412</Words>
  <Characters>2351</Characters>
  <Application>Microsoft Office Word</Application>
  <DocSecurity>0</DocSecurity>
  <Lines>19</Lines>
  <Paragraphs>5</Paragraphs>
  <ScaleCrop>false</ScaleCrop>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2026-05-25T16:32:00Z</dcterms:created>
  <dcterms:modified xsi:type="dcterms:W3CDTF">2026-05-25T16:32:00Z</dcterms:modified>
</cp:coreProperties>
</file>