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EE3019" w14:paraId="4160AF80" w14:textId="77777777">
        <w:tc>
          <w:tcPr>
            <w:tcW w:w="9360" w:type="dxa"/>
            <w:shd w:val="clear" w:color="auto" w:fill="E0651F"/>
          </w:tcPr>
          <w:p w14:paraId="607EF7D1" w14:textId="77777777" w:rsidR="00EE3019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BRADFORD VTS TEACHING AIDS</w:t>
            </w:r>
          </w:p>
          <w:p w14:paraId="01F605CA" w14:textId="77777777" w:rsidR="00EE3019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56"/>
              </w:rPr>
              <w:t>Tutorial Plan: Teenage Health</w:t>
            </w:r>
          </w:p>
          <w:p w14:paraId="5648C955" w14:textId="77777777" w:rsidR="00EE3019" w:rsidRDefault="00000000">
            <w:pPr>
              <w:jc w:val="center"/>
            </w:pPr>
            <w:r>
              <w:rPr>
                <w:rFonts w:ascii="Calibri" w:hAnsi="Calibri"/>
                <w:i/>
                <w:color w:val="FFFFFF"/>
              </w:rPr>
              <w:t>Bradford VTS GP Training · Dr Ramesh Mehay · May 2026</w:t>
            </w:r>
          </w:p>
        </w:tc>
      </w:tr>
    </w:tbl>
    <w:p w14:paraId="3539A861" w14:textId="77777777" w:rsidR="00EE3019" w:rsidRDefault="00EE30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EE3019" w14:paraId="3483B829" w14:textId="77777777">
        <w:tc>
          <w:tcPr>
            <w:tcW w:w="9360" w:type="dxa"/>
            <w:shd w:val="clear" w:color="auto" w:fill="2C5F8A"/>
          </w:tcPr>
          <w:p w14:paraId="7FFD53C5" w14:textId="77777777" w:rsidR="00EE3019" w:rsidRDefault="00000000">
            <w:r>
              <w:rPr>
                <w:rFonts w:ascii="Calibri" w:hAnsi="Calibri"/>
                <w:color w:val="FFFFFF"/>
              </w:rPr>
              <w:t>🎯 This tutorial introduces GPSTs to the key issues in primary healthcare for young people — drawing on real-world scenarios for discussion.</w:t>
            </w:r>
          </w:p>
        </w:tc>
      </w:tr>
    </w:tbl>
    <w:p w14:paraId="3C3CBFA8" w14:textId="77777777" w:rsidR="00EE3019" w:rsidRDefault="00EE3019"/>
    <w:p w14:paraId="019163CE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Aim</w:t>
      </w:r>
    </w:p>
    <w:p w14:paraId="41AE8C29" w14:textId="77777777" w:rsidR="00EE3019" w:rsidRDefault="00000000">
      <w:r>
        <w:rPr>
          <w:rFonts w:ascii="Calibri" w:hAnsi="Calibri"/>
        </w:rPr>
        <w:t>To introduce GP specialty trainees (GPSTs) to the important issues in primary healthcare for young people, including clinical, ethical, legal, and communication dimensions.</w:t>
      </w:r>
    </w:p>
    <w:p w14:paraId="6043CED2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Learning Objectives</w:t>
      </w:r>
    </w:p>
    <w:p w14:paraId="24622FFF" w14:textId="77777777" w:rsidR="00EE3019" w:rsidRDefault="00000000">
      <w:r>
        <w:rPr>
          <w:rFonts w:ascii="Calibri" w:hAnsi="Calibri"/>
        </w:rPr>
        <w:t>• Describe the specific physiological, developmental, and psychosocial characteristics of adolescents that distinguish them from other patient groups</w:t>
      </w:r>
    </w:p>
    <w:p w14:paraId="65D81E14" w14:textId="77777777" w:rsidR="00EE3019" w:rsidRDefault="00000000">
      <w:r>
        <w:rPr>
          <w:rFonts w:ascii="Calibri" w:hAnsi="Calibri"/>
        </w:rPr>
        <w:t>• Apply the HEADSSS framework to structure a consultation with a young person</w:t>
      </w:r>
    </w:p>
    <w:p w14:paraId="2F06DA4E" w14:textId="77777777" w:rsidR="00EE3019" w:rsidRDefault="00000000">
      <w:r>
        <w:rPr>
          <w:rFonts w:ascii="Calibri" w:hAnsi="Calibri"/>
        </w:rPr>
        <w:t>• Explain Gillick competence and Fraser Guidelines and apply them correctly</w:t>
      </w:r>
    </w:p>
    <w:p w14:paraId="34F1B189" w14:textId="77777777" w:rsidR="00EE3019" w:rsidRDefault="00000000">
      <w:r>
        <w:rPr>
          <w:rFonts w:ascii="Calibri" w:hAnsi="Calibri"/>
        </w:rPr>
        <w:t>• Identify key safeguarding triggers and demonstrate understanding of mandatory vs discretionary disclosure</w:t>
      </w:r>
    </w:p>
    <w:p w14:paraId="3734AE62" w14:textId="77777777" w:rsidR="00EE3019" w:rsidRDefault="00000000">
      <w:r>
        <w:rPr>
          <w:rFonts w:ascii="Calibri" w:hAnsi="Calibri"/>
        </w:rPr>
        <w:t>• Consult effectively with young people in three-way consultations (patient/parent/doctor)</w:t>
      </w:r>
    </w:p>
    <w:p w14:paraId="7B12C8BA" w14:textId="77777777" w:rsidR="00EE3019" w:rsidRDefault="00000000">
      <w:r>
        <w:rPr>
          <w:rFonts w:ascii="Calibri" w:hAnsi="Calibri"/>
        </w:rPr>
        <w:t>• Recognise red-flag presentations in adolescent health: mental health, self-harm, eating disorders, sexual exploitation</w:t>
      </w:r>
    </w:p>
    <w:p w14:paraId="1AAB93B0" w14:textId="77777777" w:rsidR="00EE3019" w:rsidRDefault="00000000">
      <w:r>
        <w:rPr>
          <w:rFonts w:ascii="Calibri" w:hAnsi="Calibri"/>
        </w:rPr>
        <w:t>• Discuss the updated NICE guidance relevant to each scenario: NG225 (self-harm), NG134 (depression), NG88 (HMB), NG69 (eating disorders)</w:t>
      </w:r>
    </w:p>
    <w:p w14:paraId="434D9430" w14:textId="77777777" w:rsidR="00EE3019" w:rsidRDefault="00000000">
      <w:r>
        <w:rPr>
          <w:rFonts w:ascii="Calibri" w:hAnsi="Calibri"/>
        </w:rPr>
        <w:t>• Demonstrate knowledge of local services for young people and know when and how to refer</w:t>
      </w:r>
    </w:p>
    <w:p w14:paraId="0F56C465" w14:textId="77777777" w:rsidR="00EB6C76" w:rsidRDefault="00EB6C76">
      <w:pPr>
        <w:rPr>
          <w:rFonts w:ascii="Calibri" w:eastAsiaTheme="majorEastAsia" w:hAnsi="Calibri" w:cstheme="majorBidi"/>
          <w:b/>
          <w:bCs/>
          <w:color w:val="2C5F8A"/>
          <w:sz w:val="28"/>
          <w:szCs w:val="28"/>
        </w:rPr>
      </w:pPr>
      <w:r>
        <w:rPr>
          <w:rFonts w:ascii="Calibri" w:hAnsi="Calibri"/>
          <w:color w:val="2C5F8A"/>
        </w:rPr>
        <w:br w:type="page"/>
      </w:r>
    </w:p>
    <w:p w14:paraId="123AD9B2" w14:textId="0C074E62" w:rsidR="00EE3019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Suggested Tutorial Structure (60–90 min)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EE3019" w14:paraId="79720906" w14:textId="77777777">
        <w:tc>
          <w:tcPr>
            <w:tcW w:w="3120" w:type="dxa"/>
            <w:shd w:val="clear" w:color="auto" w:fill="2C5F8A"/>
          </w:tcPr>
          <w:p w14:paraId="76BE367C" w14:textId="77777777" w:rsidR="00EE3019" w:rsidRDefault="00000000">
            <w:r>
              <w:rPr>
                <w:rFonts w:ascii="Calibri" w:hAnsi="Calibri"/>
                <w:b/>
                <w:color w:val="FFFFFF"/>
              </w:rPr>
              <w:t>Time</w:t>
            </w:r>
          </w:p>
        </w:tc>
        <w:tc>
          <w:tcPr>
            <w:tcW w:w="3120" w:type="dxa"/>
            <w:shd w:val="clear" w:color="auto" w:fill="2C5F8A"/>
          </w:tcPr>
          <w:p w14:paraId="7A3D356B" w14:textId="77777777" w:rsidR="00EE3019" w:rsidRDefault="00000000">
            <w:r>
              <w:rPr>
                <w:rFonts w:ascii="Calibri" w:hAnsi="Calibri"/>
                <w:b/>
                <w:color w:val="FFFFFF"/>
              </w:rPr>
              <w:t>Section</w:t>
            </w:r>
          </w:p>
        </w:tc>
        <w:tc>
          <w:tcPr>
            <w:tcW w:w="3120" w:type="dxa"/>
            <w:shd w:val="clear" w:color="auto" w:fill="2C5F8A"/>
          </w:tcPr>
          <w:p w14:paraId="19374C2D" w14:textId="77777777" w:rsidR="00EE3019" w:rsidRDefault="00000000">
            <w:r>
              <w:rPr>
                <w:rFonts w:ascii="Calibri" w:hAnsi="Calibri"/>
                <w:b/>
                <w:color w:val="FFFFFF"/>
              </w:rPr>
              <w:t>Format</w:t>
            </w:r>
          </w:p>
        </w:tc>
      </w:tr>
      <w:tr w:rsidR="00EE3019" w14:paraId="4A387920" w14:textId="77777777">
        <w:tc>
          <w:tcPr>
            <w:tcW w:w="3120" w:type="dxa"/>
          </w:tcPr>
          <w:p w14:paraId="26D1319A" w14:textId="77777777" w:rsidR="00EE3019" w:rsidRDefault="00000000">
            <w:r>
              <w:rPr>
                <w:rFonts w:ascii="Calibri" w:hAnsi="Calibri"/>
                <w:sz w:val="20"/>
              </w:rPr>
              <w:t>0–5 min</w:t>
            </w:r>
          </w:p>
        </w:tc>
        <w:tc>
          <w:tcPr>
            <w:tcW w:w="3120" w:type="dxa"/>
          </w:tcPr>
          <w:p w14:paraId="4268B5B0" w14:textId="77777777" w:rsidR="00EE3019" w:rsidRDefault="00000000">
            <w:r>
              <w:rPr>
                <w:rFonts w:ascii="Calibri" w:hAnsi="Calibri"/>
                <w:sz w:val="20"/>
              </w:rPr>
              <w:t>Welcome &amp; aims. Introductions. Agree ground rules for sensitive discussion.</w:t>
            </w:r>
          </w:p>
        </w:tc>
        <w:tc>
          <w:tcPr>
            <w:tcW w:w="3120" w:type="dxa"/>
          </w:tcPr>
          <w:p w14:paraId="460F0B7C" w14:textId="77777777" w:rsidR="00EE3019" w:rsidRDefault="00000000">
            <w:r>
              <w:rPr>
                <w:rFonts w:ascii="Calibri" w:hAnsi="Calibri"/>
                <w:sz w:val="20"/>
              </w:rPr>
              <w:t>Whole group</w:t>
            </w:r>
          </w:p>
        </w:tc>
      </w:tr>
      <w:tr w:rsidR="00EE3019" w14:paraId="44BD6B3E" w14:textId="77777777">
        <w:tc>
          <w:tcPr>
            <w:tcW w:w="3120" w:type="dxa"/>
          </w:tcPr>
          <w:p w14:paraId="738B9BBC" w14:textId="77777777" w:rsidR="00EE3019" w:rsidRDefault="00000000">
            <w:r>
              <w:rPr>
                <w:rFonts w:ascii="Calibri" w:hAnsi="Calibri"/>
                <w:sz w:val="20"/>
              </w:rPr>
              <w:t>5–15 min</w:t>
            </w:r>
          </w:p>
        </w:tc>
        <w:tc>
          <w:tcPr>
            <w:tcW w:w="3120" w:type="dxa"/>
          </w:tcPr>
          <w:p w14:paraId="4DE276B4" w14:textId="77777777" w:rsidR="00EE3019" w:rsidRDefault="00000000">
            <w:r>
              <w:rPr>
                <w:rFonts w:ascii="Calibri" w:hAnsi="Calibri"/>
                <w:sz w:val="20"/>
              </w:rPr>
              <w:t>Background: Young people's health needs and society's concerns. Statistics on adolescent health (see below).</w:t>
            </w:r>
          </w:p>
        </w:tc>
        <w:tc>
          <w:tcPr>
            <w:tcW w:w="3120" w:type="dxa"/>
          </w:tcPr>
          <w:p w14:paraId="03F0B787" w14:textId="77777777" w:rsidR="00EE3019" w:rsidRDefault="00000000">
            <w:r>
              <w:rPr>
                <w:rFonts w:ascii="Calibri" w:hAnsi="Calibri"/>
                <w:sz w:val="20"/>
              </w:rPr>
              <w:t>Brief presentation / discussion</w:t>
            </w:r>
          </w:p>
        </w:tc>
      </w:tr>
      <w:tr w:rsidR="00EE3019" w14:paraId="77FF50C3" w14:textId="77777777">
        <w:tc>
          <w:tcPr>
            <w:tcW w:w="3120" w:type="dxa"/>
          </w:tcPr>
          <w:p w14:paraId="31C80204" w14:textId="77777777" w:rsidR="00EE3019" w:rsidRDefault="00000000">
            <w:r>
              <w:rPr>
                <w:rFonts w:ascii="Calibri" w:hAnsi="Calibri"/>
                <w:sz w:val="20"/>
              </w:rPr>
              <w:t>15–30 min</w:t>
            </w:r>
          </w:p>
        </w:tc>
        <w:tc>
          <w:tcPr>
            <w:tcW w:w="3120" w:type="dxa"/>
          </w:tcPr>
          <w:p w14:paraId="61021AC8" w14:textId="77777777" w:rsidR="00EE3019" w:rsidRDefault="00000000">
            <w:r>
              <w:rPr>
                <w:rFonts w:ascii="Calibri" w:hAnsi="Calibri"/>
                <w:sz w:val="20"/>
              </w:rPr>
              <w:t>Consultation skills: HEADSSS framework. Three-way consultations. Confidentiality and Fraser Guidelines.</w:t>
            </w:r>
          </w:p>
        </w:tc>
        <w:tc>
          <w:tcPr>
            <w:tcW w:w="3120" w:type="dxa"/>
          </w:tcPr>
          <w:p w14:paraId="28CA67DD" w14:textId="77777777" w:rsidR="00EE3019" w:rsidRDefault="00000000">
            <w:r>
              <w:rPr>
                <w:rFonts w:ascii="Calibri" w:hAnsi="Calibri"/>
                <w:sz w:val="20"/>
              </w:rPr>
              <w:t>Trainer-led teaching + group Q&amp;A</w:t>
            </w:r>
          </w:p>
        </w:tc>
      </w:tr>
      <w:tr w:rsidR="00EE3019" w14:paraId="630E684F" w14:textId="77777777">
        <w:tc>
          <w:tcPr>
            <w:tcW w:w="3120" w:type="dxa"/>
          </w:tcPr>
          <w:p w14:paraId="18CA53FC" w14:textId="77777777" w:rsidR="00EE3019" w:rsidRDefault="00000000">
            <w:r>
              <w:rPr>
                <w:rFonts w:ascii="Calibri" w:hAnsi="Calibri"/>
                <w:sz w:val="20"/>
              </w:rPr>
              <w:t>30–60 min</w:t>
            </w:r>
          </w:p>
        </w:tc>
        <w:tc>
          <w:tcPr>
            <w:tcW w:w="3120" w:type="dxa"/>
          </w:tcPr>
          <w:p w14:paraId="2504A9DD" w14:textId="77777777" w:rsidR="00EE3019" w:rsidRDefault="00000000">
            <w:r>
              <w:rPr>
                <w:rFonts w:ascii="Calibri" w:hAnsi="Calibri"/>
                <w:sz w:val="20"/>
              </w:rPr>
              <w:t>Case-based discussion: 4 clinical scenarios (see Scenarios section). Trainees lead discussion; trainer facilitates.</w:t>
            </w:r>
          </w:p>
        </w:tc>
        <w:tc>
          <w:tcPr>
            <w:tcW w:w="3120" w:type="dxa"/>
          </w:tcPr>
          <w:p w14:paraId="3EF5496B" w14:textId="77777777" w:rsidR="00EE3019" w:rsidRDefault="00000000">
            <w:r>
              <w:rPr>
                <w:rFonts w:ascii="Calibri" w:hAnsi="Calibri"/>
                <w:sz w:val="20"/>
              </w:rPr>
              <w:t>Small group discussion</w:t>
            </w:r>
          </w:p>
        </w:tc>
      </w:tr>
      <w:tr w:rsidR="00EE3019" w14:paraId="6197EF3C" w14:textId="77777777">
        <w:tc>
          <w:tcPr>
            <w:tcW w:w="3120" w:type="dxa"/>
          </w:tcPr>
          <w:p w14:paraId="3AC481C1" w14:textId="77777777" w:rsidR="00EE3019" w:rsidRDefault="00000000">
            <w:r>
              <w:rPr>
                <w:rFonts w:ascii="Calibri" w:hAnsi="Calibri"/>
                <w:sz w:val="20"/>
              </w:rPr>
              <w:t>60–75 min</w:t>
            </w:r>
          </w:p>
        </w:tc>
        <w:tc>
          <w:tcPr>
            <w:tcW w:w="3120" w:type="dxa"/>
          </w:tcPr>
          <w:p w14:paraId="1FB2A7E6" w14:textId="77777777" w:rsidR="00EE3019" w:rsidRDefault="00000000">
            <w:r>
              <w:rPr>
                <w:rFonts w:ascii="Calibri" w:hAnsi="Calibri"/>
                <w:sz w:val="20"/>
              </w:rPr>
              <w:t>Updated NICE guidance key points: self-harm, depression, eating disorders, sexual health.</w:t>
            </w:r>
          </w:p>
        </w:tc>
        <w:tc>
          <w:tcPr>
            <w:tcW w:w="3120" w:type="dxa"/>
          </w:tcPr>
          <w:p w14:paraId="23DFF3C7" w14:textId="77777777" w:rsidR="00EE3019" w:rsidRDefault="00000000">
            <w:r>
              <w:rPr>
                <w:rFonts w:ascii="Calibri" w:hAnsi="Calibri"/>
                <w:sz w:val="20"/>
              </w:rPr>
              <w:t>Trainer summary slides / handout</w:t>
            </w:r>
          </w:p>
        </w:tc>
      </w:tr>
      <w:tr w:rsidR="00EE3019" w14:paraId="3CC8BC45" w14:textId="77777777">
        <w:tc>
          <w:tcPr>
            <w:tcW w:w="3120" w:type="dxa"/>
          </w:tcPr>
          <w:p w14:paraId="1CC1B7C0" w14:textId="77777777" w:rsidR="00EE3019" w:rsidRDefault="00000000">
            <w:r>
              <w:rPr>
                <w:rFonts w:ascii="Calibri" w:hAnsi="Calibri"/>
                <w:sz w:val="20"/>
              </w:rPr>
              <w:t>75–90 min</w:t>
            </w:r>
          </w:p>
        </w:tc>
        <w:tc>
          <w:tcPr>
            <w:tcW w:w="3120" w:type="dxa"/>
          </w:tcPr>
          <w:p w14:paraId="4EB30A41" w14:textId="77777777" w:rsidR="00EE3019" w:rsidRDefault="00000000">
            <w:r>
              <w:rPr>
                <w:rFonts w:ascii="Calibri" w:hAnsi="Calibri"/>
                <w:sz w:val="20"/>
              </w:rPr>
              <w:t>Reflection and action plan. What will each trainee do differently? What resources/services do they know now?</w:t>
            </w:r>
          </w:p>
        </w:tc>
        <w:tc>
          <w:tcPr>
            <w:tcW w:w="3120" w:type="dxa"/>
          </w:tcPr>
          <w:p w14:paraId="459D40B8" w14:textId="77777777" w:rsidR="00EE3019" w:rsidRDefault="00000000">
            <w:r>
              <w:rPr>
                <w:rFonts w:ascii="Calibri" w:hAnsi="Calibri"/>
                <w:sz w:val="20"/>
              </w:rPr>
              <w:t>Individual reflection + group share</w:t>
            </w:r>
          </w:p>
        </w:tc>
      </w:tr>
    </w:tbl>
    <w:p w14:paraId="7BEB6C58" w14:textId="77777777" w:rsidR="00EE3019" w:rsidRDefault="00EE3019"/>
    <w:p w14:paraId="11A85E8A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Background: Key Statistics on Young People's Health</w:t>
      </w:r>
    </w:p>
    <w:p w14:paraId="033F7D46" w14:textId="77777777" w:rsidR="00EE3019" w:rsidRDefault="00000000">
      <w:r>
        <w:rPr>
          <w:rFonts w:ascii="Calibri" w:hAnsi="Calibri"/>
        </w:rPr>
        <w:t>• By age 16: ~40% have had sexual intercourse; of those, ~20% used no contraception</w:t>
      </w:r>
    </w:p>
    <w:p w14:paraId="35B58F31" w14:textId="77777777" w:rsidR="00EE3019" w:rsidRDefault="00000000">
      <w:r>
        <w:rPr>
          <w:rFonts w:ascii="Calibri" w:hAnsi="Calibri"/>
        </w:rPr>
        <w:t>• By age 16: 66% of girls and 25% of boys have attempted to lose weight</w:t>
      </w:r>
    </w:p>
    <w:p w14:paraId="11431D74" w14:textId="77777777" w:rsidR="00EE3019" w:rsidRDefault="00000000">
      <w:r>
        <w:rPr>
          <w:rFonts w:ascii="Calibri" w:hAnsi="Calibri"/>
        </w:rPr>
        <w:t>• Suicide and accidents are the leading causes of death in teenagers</w:t>
      </w:r>
    </w:p>
    <w:p w14:paraId="56CD9CAB" w14:textId="77777777" w:rsidR="00EE3019" w:rsidRDefault="00000000">
      <w:r>
        <w:rPr>
          <w:rFonts w:ascii="Calibri" w:hAnsi="Calibri"/>
        </w:rPr>
        <w:t>• CAMHS services are significantly under-resourced — average waiting time 18 weeks+ in many areas</w:t>
      </w:r>
    </w:p>
    <w:p w14:paraId="2900286F" w14:textId="77777777" w:rsidR="00EE3019" w:rsidRDefault="00000000">
      <w:r>
        <w:rPr>
          <w:rFonts w:ascii="Calibri" w:hAnsi="Calibri"/>
        </w:rPr>
        <w:t>• STIs: chlamydia is the most common STI in young people — national screening at sexual health clinics</w:t>
      </w:r>
    </w:p>
    <w:p w14:paraId="061BFBC6" w14:textId="77777777" w:rsidR="00EE3019" w:rsidRDefault="00000000">
      <w:r>
        <w:rPr>
          <w:rFonts w:ascii="Calibri" w:hAnsi="Calibri"/>
        </w:rPr>
        <w:t>• Cannabis: 30–40% of 15–16 year olds report use; 1 in 9 boys who use do so daily</w:t>
      </w:r>
    </w:p>
    <w:p w14:paraId="7A969F69" w14:textId="77777777" w:rsidR="00EE3019" w:rsidRDefault="00000000">
      <w:r>
        <w:rPr>
          <w:rFonts w:ascii="Calibri" w:hAnsi="Calibri"/>
        </w:rPr>
        <w:t>• Alcohol: 94% of UK 15–16 year olds have drunk alcohol; 76% have been drunk at least once</w:t>
      </w:r>
    </w:p>
    <w:p w14:paraId="7F6E8018" w14:textId="77777777" w:rsidR="00EE3019" w:rsidRDefault="00000000">
      <w:r>
        <w:rPr>
          <w:rFonts w:ascii="Calibri" w:hAnsi="Calibri"/>
        </w:rPr>
        <w:t>• 90% of teenagers visit their GP at least once a year — maximum opportunity for health promotion</w:t>
      </w:r>
    </w:p>
    <w:p w14:paraId="4D3509C9" w14:textId="77777777" w:rsidR="00EE3019" w:rsidRDefault="00000000">
      <w:r>
        <w:rPr>
          <w:rFonts w:ascii="Calibri" w:hAnsi="Calibri"/>
        </w:rPr>
        <w:t>• Young people from minority ethnic communities may face additional cultural conflicts — important in Bradford</w:t>
      </w:r>
    </w:p>
    <w:p w14:paraId="6D041711" w14:textId="77777777" w:rsidR="00EB6C76" w:rsidRDefault="00EB6C76">
      <w:pPr>
        <w:rPr>
          <w:rFonts w:ascii="Calibri" w:eastAsiaTheme="majorEastAsia" w:hAnsi="Calibri" w:cstheme="majorBidi"/>
          <w:b/>
          <w:bCs/>
          <w:color w:val="2C5F8A"/>
          <w:sz w:val="28"/>
          <w:szCs w:val="28"/>
        </w:rPr>
      </w:pPr>
      <w:r>
        <w:rPr>
          <w:rFonts w:ascii="Calibri" w:hAnsi="Calibri"/>
          <w:color w:val="2C5F8A"/>
        </w:rPr>
        <w:br w:type="page"/>
      </w:r>
    </w:p>
    <w:p w14:paraId="06C5419C" w14:textId="0EB9126A" w:rsidR="00EE3019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Key Consultation Principles</w:t>
      </w:r>
    </w:p>
    <w:p w14:paraId="5872AC20" w14:textId="77777777" w:rsidR="00EE3019" w:rsidRDefault="00000000">
      <w:r>
        <w:rPr>
          <w:rFonts w:ascii="Calibri" w:hAnsi="Calibri"/>
          <w:b/>
        </w:rPr>
        <w:t xml:space="preserve">• See them alone: </w:t>
      </w:r>
      <w:r>
        <w:rPr>
          <w:rFonts w:ascii="Calibri" w:hAnsi="Calibri"/>
        </w:rPr>
        <w:t>Ask the parent to wait outside — always try to see a young person alone, even for part of the consultation. Make this a routine habit at any age.</w:t>
      </w:r>
    </w:p>
    <w:p w14:paraId="42423924" w14:textId="77777777" w:rsidR="00EE3019" w:rsidRDefault="00000000">
      <w:r>
        <w:rPr>
          <w:rFonts w:ascii="Calibri" w:hAnsi="Calibri"/>
          <w:b/>
        </w:rPr>
        <w:t xml:space="preserve">• Assure confidentiality FIRST: </w:t>
      </w:r>
      <w:r>
        <w:rPr>
          <w:rFonts w:ascii="Calibri" w:hAnsi="Calibri"/>
        </w:rPr>
        <w:t>Start every consultation: "Everything you tell me is private, unless I'm worried about your safety." This builds trust immediately.</w:t>
      </w:r>
    </w:p>
    <w:p w14:paraId="0196FB0A" w14:textId="77777777" w:rsidR="00EE3019" w:rsidRDefault="00000000">
      <w:r>
        <w:rPr>
          <w:rFonts w:ascii="Calibri" w:hAnsi="Calibri"/>
          <w:b/>
        </w:rPr>
        <w:t xml:space="preserve">• HEADSSS framework: </w:t>
      </w:r>
      <w:r>
        <w:rPr>
          <w:rFonts w:ascii="Calibri" w:hAnsi="Calibri"/>
        </w:rPr>
        <w:t>Use this to systematically explore their life (see separate resource). Start with low-threat questions (Home, Education) and build.</w:t>
      </w:r>
    </w:p>
    <w:p w14:paraId="182963C2" w14:textId="77777777" w:rsidR="00EE3019" w:rsidRDefault="00000000">
      <w:r>
        <w:rPr>
          <w:rFonts w:ascii="Calibri" w:hAnsi="Calibri"/>
          <w:b/>
        </w:rPr>
        <w:t xml:space="preserve">• Patient-centred above all: </w:t>
      </w:r>
      <w:r>
        <w:rPr>
          <w:rFonts w:ascii="Calibri" w:hAnsi="Calibri"/>
        </w:rPr>
        <w:t>Find out what the young person is worried about. Their hidden agenda is often different from their presenting complaint.</w:t>
      </w:r>
    </w:p>
    <w:p w14:paraId="06E4DB01" w14:textId="77777777" w:rsidR="00EE3019" w:rsidRDefault="00000000">
      <w:r>
        <w:rPr>
          <w:rFonts w:ascii="Calibri" w:hAnsi="Calibri"/>
          <w:b/>
        </w:rPr>
        <w:t xml:space="preserve">• Health promotion: </w:t>
      </w:r>
      <w:r>
        <w:rPr>
          <w:rFonts w:ascii="Calibri" w:hAnsi="Calibri"/>
        </w:rPr>
        <w:t>Must be sensitive to the young person's own agenda. Avoid lecturing. Use motivational interviewing techniques.</w:t>
      </w:r>
    </w:p>
    <w:p w14:paraId="14B265F5" w14:textId="77777777" w:rsidR="00EE3019" w:rsidRDefault="00000000">
      <w:r>
        <w:rPr>
          <w:rFonts w:ascii="Calibri" w:hAnsi="Calibri"/>
          <w:b/>
        </w:rPr>
        <w:t xml:space="preserve">• Chronic disease: </w:t>
      </w:r>
      <w:r>
        <w:rPr>
          <w:rFonts w:ascii="Calibri" w:hAnsi="Calibri"/>
        </w:rPr>
        <w:t>Teenagers with chronic conditions (asthma, diabetes, psoriasis) often express resentment through non-compliance. Be curious, not prescriptive.</w:t>
      </w:r>
    </w:p>
    <w:p w14:paraId="1AFE26C2" w14:textId="77777777" w:rsidR="00EE3019" w:rsidRDefault="00000000">
      <w:r>
        <w:rPr>
          <w:rFonts w:ascii="Calibri" w:hAnsi="Calibri"/>
          <w:b/>
        </w:rPr>
        <w:t xml:space="preserve">• Three-way consultations: </w:t>
      </w:r>
      <w:r>
        <w:rPr>
          <w:rFonts w:ascii="Calibri" w:hAnsi="Calibri"/>
        </w:rPr>
        <w:t>Manage carefully: acknowledge the parent, keep the young person as the primary patient, ensure their voice is heard.</w:t>
      </w:r>
    </w:p>
    <w:p w14:paraId="2321ABE5" w14:textId="77777777" w:rsidR="00EE3019" w:rsidRDefault="00000000">
      <w:r>
        <w:rPr>
          <w:rFonts w:ascii="Calibri" w:hAnsi="Calibri"/>
          <w:b/>
        </w:rPr>
        <w:t xml:space="preserve">• Safety-netting: </w:t>
      </w:r>
      <w:r>
        <w:rPr>
          <w:rFonts w:ascii="Calibri" w:hAnsi="Calibri"/>
        </w:rPr>
        <w:t>Always: "If things don't get better, or if you're worried about anything, come back." Provide Crisis team details if appropriate.</w:t>
      </w:r>
    </w:p>
    <w:p w14:paraId="5DCC2FFE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Clinical Scenarios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EE3019" w14:paraId="0145D831" w14:textId="77777777">
        <w:tc>
          <w:tcPr>
            <w:tcW w:w="9360" w:type="dxa"/>
            <w:shd w:val="clear" w:color="auto" w:fill="1B4F72"/>
          </w:tcPr>
          <w:p w14:paraId="7D5A0384" w14:textId="77777777" w:rsidR="00EE3019" w:rsidRDefault="00000000">
            <w:r>
              <w:rPr>
                <w:rFonts w:ascii="Calibri" w:hAnsi="Calibri"/>
                <w:color w:val="FFFFFF"/>
              </w:rPr>
              <w:t>💬 Use these scenarios for small-group discussion. Facilitators: use the notes to guide discussion — do not reveal them immediately. Allow trainees to explore approaches first.</w:t>
            </w:r>
          </w:p>
        </w:tc>
      </w:tr>
    </w:tbl>
    <w:p w14:paraId="6F837F61" w14:textId="77777777" w:rsidR="00EE3019" w:rsidRDefault="00EE3019"/>
    <w:p w14:paraId="22BA9331" w14:textId="77777777" w:rsidR="00EE3019" w:rsidRDefault="00000000">
      <w:pPr>
        <w:pStyle w:val="Heading2"/>
      </w:pPr>
      <w:r>
        <w:rPr>
          <w:rFonts w:ascii="Calibri" w:hAnsi="Calibri"/>
          <w:color w:val="2C5F8A"/>
        </w:rPr>
        <w:t>Scenario 1: Hannah, 14 — Contraception Request</w:t>
      </w:r>
    </w:p>
    <w:p w14:paraId="6AAD93D8" w14:textId="77777777" w:rsidR="00EE3019" w:rsidRDefault="00000000">
      <w:r>
        <w:rPr>
          <w:rFonts w:ascii="Calibri" w:hAnsi="Calibri"/>
        </w:rPr>
        <w:t>Hannah, 14, has a book-on-the-day appointment at 4pm. She arrives with a friend of the same age (Ashley). They are giggly and not very articulate. Ashley announces: "She's come because she wants to go on the Pill." You notice a packet of cigarettes sticking out of Ashley's pocket. Hannah has little idea when her last period was and mentions she has had several sexual partners.</w:t>
      </w:r>
    </w:p>
    <w:p w14:paraId="200DA587" w14:textId="77777777" w:rsidR="00EE3019" w:rsidRDefault="00000000">
      <w:pPr>
        <w:pStyle w:val="Heading3"/>
      </w:pPr>
      <w:r>
        <w:rPr>
          <w:rFonts w:ascii="Calibri" w:hAnsi="Calibri"/>
          <w:color w:val="2C5F8A"/>
        </w:rPr>
        <w:t>Facilitator Discussion Points</w:t>
      </w:r>
    </w:p>
    <w:p w14:paraId="469400A3" w14:textId="77777777" w:rsidR="00EE3019" w:rsidRDefault="00000000">
      <w:r>
        <w:rPr>
          <w:rFonts w:ascii="Calibri" w:hAnsi="Calibri"/>
        </w:rPr>
        <w:t>• How do you manage the three-way dynamic (Hannah, Ashley, you)?</w:t>
      </w:r>
    </w:p>
    <w:p w14:paraId="36E949D4" w14:textId="77777777" w:rsidR="00EE3019" w:rsidRDefault="00000000">
      <w:r>
        <w:rPr>
          <w:rFonts w:ascii="Calibri" w:hAnsi="Calibri"/>
        </w:rPr>
        <w:t>• Does Hannah satisfy Fraser Guidelines for contraception? Walk through each criterion.</w:t>
      </w:r>
    </w:p>
    <w:p w14:paraId="2EC210F9" w14:textId="77777777" w:rsidR="00EE3019" w:rsidRDefault="00000000">
      <w:r>
        <w:rPr>
          <w:rFonts w:ascii="Calibri" w:hAnsi="Calibri"/>
        </w:rPr>
        <w:t>• Will you try to persuade her to involve a parent — how, and with what boundaries?</w:t>
      </w:r>
    </w:p>
    <w:p w14:paraId="6611FAD2" w14:textId="77777777" w:rsidR="00EE3019" w:rsidRDefault="00000000">
      <w:r>
        <w:rPr>
          <w:rFonts w:ascii="Calibri" w:hAnsi="Calibri"/>
        </w:rPr>
        <w:t>• You perform a pregnancy test: it's positive. How do you help Hannah make a decision?</w:t>
      </w:r>
    </w:p>
    <w:p w14:paraId="5AD02660" w14:textId="77777777" w:rsidR="00EE3019" w:rsidRDefault="00000000">
      <w:r>
        <w:rPr>
          <w:rFonts w:ascii="Calibri" w:hAnsi="Calibri"/>
        </w:rPr>
        <w:t>• If she is adamant she cannot tell her parents — what are the options? School mentor? Friend's parent?</w:t>
      </w:r>
    </w:p>
    <w:p w14:paraId="7E5D13C7" w14:textId="77777777" w:rsidR="00EE3019" w:rsidRDefault="00000000">
      <w:r>
        <w:rPr>
          <w:rFonts w:ascii="Calibri" w:hAnsi="Calibri"/>
        </w:rPr>
        <w:lastRenderedPageBreak/>
        <w:t>• What about STI screening? (National Chlamydia Screening Programme applies to under-25s)</w:t>
      </w:r>
    </w:p>
    <w:p w14:paraId="53CCB081" w14:textId="77777777" w:rsidR="00EE3019" w:rsidRDefault="00000000">
      <w:r>
        <w:rPr>
          <w:rFonts w:ascii="Calibri" w:hAnsi="Calibri"/>
        </w:rPr>
        <w:t>• UPDATED GUIDANCE: Emergency contraception — copper IUD most effective (up to 5 days); LNG-EC (Levonelle) up to 72h; EllaOne up to 120h</w:t>
      </w:r>
    </w:p>
    <w:p w14:paraId="6E9C1E66" w14:textId="77777777" w:rsidR="00EE3019" w:rsidRDefault="00000000">
      <w:r>
        <w:rPr>
          <w:rFonts w:ascii="Calibri" w:hAnsi="Calibri"/>
        </w:rPr>
        <w:t>• What if she is 18 weeks pregnant?</w:t>
      </w:r>
    </w:p>
    <w:p w14:paraId="76473194" w14:textId="77777777" w:rsidR="00EE3019" w:rsidRDefault="00000000">
      <w:r>
        <w:rPr>
          <w:rFonts w:ascii="Calibri" w:hAnsi="Calibri"/>
        </w:rPr>
        <w:t>• [Health promotion opportunity]: Cigarettes visible — brief intervention on smoking? Alcohol?</w:t>
      </w:r>
    </w:p>
    <w:p w14:paraId="2445E4CB" w14:textId="77777777" w:rsidR="00EE3019" w:rsidRDefault="00000000">
      <w:pPr>
        <w:pStyle w:val="Heading2"/>
      </w:pPr>
      <w:r>
        <w:rPr>
          <w:rFonts w:ascii="Calibri" w:hAnsi="Calibri"/>
          <w:color w:val="2C5F8A"/>
        </w:rPr>
        <w:t>Scenario 2: Joshua, 16 — Parents Worried About Behaviour</w:t>
      </w:r>
    </w:p>
    <w:p w14:paraId="2866F41F" w14:textId="77777777" w:rsidR="00EE3019" w:rsidRDefault="00000000">
      <w:r>
        <w:rPr>
          <w:rFonts w:ascii="Calibri" w:hAnsi="Calibri"/>
        </w:rPr>
        <w:t>You're doing the late evening surgery. The booked appointment is for Joshua, 16 — but his parents Anna and Matthew arrive instead. Joshua is not present. Since starting A-levels he has withdrawn socially, listens to "weird music", seems interested in death, and spends a lot of time online. He and his friends smoke cannabis and drink alcohol. His parents used cannabis at university themselves but feel something is wrong.</w:t>
      </w:r>
    </w:p>
    <w:p w14:paraId="10B021D5" w14:textId="77777777" w:rsidR="00EE3019" w:rsidRDefault="00000000">
      <w:pPr>
        <w:pStyle w:val="Heading3"/>
      </w:pPr>
      <w:r>
        <w:rPr>
          <w:rFonts w:ascii="Calibri" w:hAnsi="Calibri"/>
          <w:color w:val="2C5F8A"/>
        </w:rPr>
        <w:t>Facilitator Discussion Points</w:t>
      </w:r>
    </w:p>
    <w:p w14:paraId="500E9051" w14:textId="77777777" w:rsidR="00EE3019" w:rsidRDefault="00000000">
      <w:r>
        <w:rPr>
          <w:rFonts w:ascii="Calibri" w:hAnsi="Calibri"/>
        </w:rPr>
        <w:t>• How do you manage the consultation — a young person is absent?</w:t>
      </w:r>
    </w:p>
    <w:p w14:paraId="59C34625" w14:textId="77777777" w:rsidR="00EE3019" w:rsidRDefault="00000000">
      <w:r>
        <w:rPr>
          <w:rFonts w:ascii="Calibri" w:hAnsi="Calibri"/>
        </w:rPr>
        <w:t>• What information would you want about Joshua? (Actual school performance, friendships, any trusted adult?)</w:t>
      </w:r>
    </w:p>
    <w:p w14:paraId="3366E7A9" w14:textId="77777777" w:rsidR="00EE3019" w:rsidRDefault="00000000">
      <w:r>
        <w:rPr>
          <w:rFonts w:ascii="Calibri" w:hAnsi="Calibri"/>
        </w:rPr>
        <w:t>• What are the possible diagnoses? (Depression, psychosis, normal adolescent adjustment, substance dependence)</w:t>
      </w:r>
    </w:p>
    <w:p w14:paraId="0DD21FA8" w14:textId="77777777" w:rsidR="00EE3019" w:rsidRDefault="00000000">
      <w:r>
        <w:rPr>
          <w:rFonts w:ascii="Calibri" w:hAnsi="Calibri"/>
        </w:rPr>
        <w:t>• How might you get Joshua to come and see you? (Indirect request via parents? Letter to Joshua directly?)</w:t>
      </w:r>
    </w:p>
    <w:p w14:paraId="51151AAA" w14:textId="77777777" w:rsidR="00EE3019" w:rsidRDefault="00000000">
      <w:r>
        <w:rPr>
          <w:rFonts w:ascii="Calibri" w:hAnsi="Calibri"/>
        </w:rPr>
        <w:t>• Is this a safeguarding concern at this point?</w:t>
      </w:r>
    </w:p>
    <w:p w14:paraId="31ACD329" w14:textId="77777777" w:rsidR="00EE3019" w:rsidRDefault="00000000">
      <w:r>
        <w:rPr>
          <w:rFonts w:ascii="Calibri" w:hAnsi="Calibri"/>
        </w:rPr>
        <w:t>• UPDATED GUIDANCE: NICE NG134 (2019, reviewed 2024) — CBT first-line; fluoxetine only licensed SSRI in under-18s if psychological treatment fails or is declined</w:t>
      </w:r>
    </w:p>
    <w:p w14:paraId="4E2D98D8" w14:textId="77777777" w:rsidR="00EE3019" w:rsidRDefault="00000000">
      <w:r>
        <w:rPr>
          <w:rFonts w:ascii="Calibri" w:hAnsi="Calibri"/>
        </w:rPr>
        <w:t>• At what point would you involve CAMHS?</w:t>
      </w:r>
    </w:p>
    <w:p w14:paraId="464D8536" w14:textId="77777777" w:rsidR="00EE3019" w:rsidRDefault="00000000">
      <w:pPr>
        <w:pStyle w:val="Heading2"/>
      </w:pPr>
      <w:r>
        <w:rPr>
          <w:rFonts w:ascii="Calibri" w:hAnsi="Calibri"/>
          <w:color w:val="2C5F8A"/>
        </w:rPr>
        <w:t>Scenario 3: Amina, 15 — Post-Overdose, Mother Present</w:t>
      </w:r>
    </w:p>
    <w:p w14:paraId="26FC544A" w14:textId="77777777" w:rsidR="00EE3019" w:rsidRDefault="00000000">
      <w:r>
        <w:rPr>
          <w:rFonts w:ascii="Calibri" w:hAnsi="Calibri"/>
        </w:rPr>
        <w:t>Amina, 15, attends with her mother Nazreen following a paracetamol overdose at the weekend. She was discharged from hospital on condition she sees her GP — the mental health liaison nurse had not yet assessed her. There is a record of the admission but no assessment documented.</w:t>
      </w:r>
    </w:p>
    <w:p w14:paraId="393A7566" w14:textId="77777777" w:rsidR="00EE3019" w:rsidRDefault="00000000">
      <w:pPr>
        <w:pStyle w:val="Heading3"/>
      </w:pPr>
      <w:r>
        <w:rPr>
          <w:rFonts w:ascii="Calibri" w:hAnsi="Calibri"/>
          <w:color w:val="2C5F8A"/>
        </w:rPr>
        <w:t>Facilitator Discussion Points</w:t>
      </w:r>
    </w:p>
    <w:p w14:paraId="12B68DB8" w14:textId="77777777" w:rsidR="00EE3019" w:rsidRDefault="00000000">
      <w:r>
        <w:rPr>
          <w:rFonts w:ascii="Calibri" w:hAnsi="Calibri"/>
        </w:rPr>
        <w:t>• How do you manage the three-way consultation (mother present)?</w:t>
      </w:r>
    </w:p>
    <w:p w14:paraId="00678026" w14:textId="77777777" w:rsidR="00EE3019" w:rsidRDefault="00000000">
      <w:r>
        <w:rPr>
          <w:rFonts w:ascii="Calibri" w:hAnsi="Calibri"/>
        </w:rPr>
        <w:t>• How do you sensitively ask to see Amina alone for part of the consultation?</w:t>
      </w:r>
    </w:p>
    <w:p w14:paraId="1DABDD0A" w14:textId="77777777" w:rsidR="00EE3019" w:rsidRDefault="00000000">
      <w:r>
        <w:rPr>
          <w:rFonts w:ascii="Calibri" w:hAnsi="Calibri"/>
        </w:rPr>
        <w:t>• What are the possible precipitants? Explore each: arranged marriage, bullying, relationship breakdown, pregnancy, cultural conflict, smaller life event that feels overwhelming at 15</w:t>
      </w:r>
    </w:p>
    <w:p w14:paraId="654B9B0E" w14:textId="77777777" w:rsidR="00EE3019" w:rsidRDefault="00000000">
      <w:r>
        <w:rPr>
          <w:rFonts w:ascii="Calibri" w:hAnsi="Calibri"/>
        </w:rPr>
        <w:lastRenderedPageBreak/>
        <w:t>• UPDATED GUIDANCE: NICE NG225 (2022) — Do NOT use risk-assessment scales to predict future self-harm. Focus on holistic assessment of needs, strengths and risks.</w:t>
      </w:r>
    </w:p>
    <w:p w14:paraId="208848D2" w14:textId="77777777" w:rsidR="00EE3019" w:rsidRDefault="00000000">
      <w:r>
        <w:rPr>
          <w:rFonts w:ascii="Calibri" w:hAnsi="Calibri"/>
        </w:rPr>
        <w:t>• DBT for recurrent self-harm — if this is not her first OD and there are arm scars, what does this tell you?</w:t>
      </w:r>
    </w:p>
    <w:p w14:paraId="275E66E0" w14:textId="77777777" w:rsidR="00EE3019" w:rsidRDefault="00000000">
      <w:r>
        <w:rPr>
          <w:rFonts w:ascii="Calibri" w:hAnsi="Calibri"/>
        </w:rPr>
        <w:t>• URGENT CAMHS referral criteria: intent, lethality, no remorse, command hallucinations, active suicidal plan</w:t>
      </w:r>
    </w:p>
    <w:p w14:paraId="6B9D56E5" w14:textId="77777777" w:rsidR="00EE3019" w:rsidRDefault="00000000">
      <w:r>
        <w:rPr>
          <w:rFonts w:ascii="Calibri" w:hAnsi="Calibri"/>
        </w:rPr>
        <w:t>• What do you share with Nazreen — before and after seeing Amina alone?</w:t>
      </w:r>
    </w:p>
    <w:p w14:paraId="0E1B7FE3" w14:textId="77777777" w:rsidR="00EE3019" w:rsidRDefault="00000000">
      <w:r>
        <w:rPr>
          <w:rFonts w:ascii="Calibri" w:hAnsi="Calibri"/>
        </w:rPr>
        <w:t>• Safety-netting: what safety plan does Amina leave with?</w:t>
      </w:r>
    </w:p>
    <w:p w14:paraId="5005E222" w14:textId="77777777" w:rsidR="00EE3019" w:rsidRDefault="00000000">
      <w:pPr>
        <w:pStyle w:val="Heading2"/>
      </w:pPr>
      <w:r>
        <w:rPr>
          <w:rFonts w:ascii="Calibri" w:hAnsi="Calibri"/>
          <w:color w:val="2C5F8A"/>
        </w:rPr>
        <w:t>Scenario 4: Practice Development — Teenage Health as a Priority</w:t>
      </w:r>
    </w:p>
    <w:p w14:paraId="0CC114D0" w14:textId="77777777" w:rsidR="00EE3019" w:rsidRDefault="00000000">
      <w:r>
        <w:rPr>
          <w:rFonts w:ascii="Calibri" w:hAnsi="Calibri"/>
        </w:rPr>
        <w:t>The health commissioners decide that teenage health should be a priority and ask practices to act. You are a keen newly qualified GP and the partners suggest it would be a good project for you. How do you go about improving your practice's services for young people?</w:t>
      </w:r>
    </w:p>
    <w:p w14:paraId="66481699" w14:textId="77777777" w:rsidR="00EE3019" w:rsidRDefault="00000000">
      <w:pPr>
        <w:pStyle w:val="Heading3"/>
      </w:pPr>
      <w:r>
        <w:rPr>
          <w:rFonts w:ascii="Calibri" w:hAnsi="Calibri"/>
          <w:color w:val="2C5F8A"/>
        </w:rPr>
        <w:t>Facilitator Discussion Points</w:t>
      </w:r>
    </w:p>
    <w:p w14:paraId="7697DDC5" w14:textId="77777777" w:rsidR="00EE3019" w:rsidRDefault="00000000">
      <w:r>
        <w:rPr>
          <w:rFonts w:ascii="Calibri" w:hAnsi="Calibri"/>
        </w:rPr>
        <w:t>• Who in the practice does this affect — and how do you engage them?</w:t>
      </w:r>
    </w:p>
    <w:p w14:paraId="3B23C7E0" w14:textId="77777777" w:rsidR="00EE3019" w:rsidRDefault="00000000">
      <w:r>
        <w:rPr>
          <w:rFonts w:ascii="Calibri" w:hAnsi="Calibri"/>
        </w:rPr>
        <w:t>• What resources will the practice need, and how will they be funded?</w:t>
      </w:r>
    </w:p>
    <w:p w14:paraId="66B7B936" w14:textId="77777777" w:rsidR="00EE3019" w:rsidRDefault="00000000">
      <w:r>
        <w:rPr>
          <w:rFonts w:ascii="Calibri" w:hAnsi="Calibri"/>
        </w:rPr>
        <w:t>• Staff training: what topics? (Confidentiality, Gillick, HEADSSS, safeguarding)</w:t>
      </w:r>
    </w:p>
    <w:p w14:paraId="3149287B" w14:textId="77777777" w:rsidR="00EE3019" w:rsidRDefault="00000000">
      <w:r>
        <w:rPr>
          <w:rFonts w:ascii="Calibri" w:hAnsi="Calibri"/>
        </w:rPr>
        <w:t>• Organisational issues: appointment system, space, website, confidentiality posters</w:t>
      </w:r>
    </w:p>
    <w:p w14:paraId="5EA2C4AF" w14:textId="77777777" w:rsidR="00EE3019" w:rsidRDefault="00000000">
      <w:r>
        <w:rPr>
          <w:rFonts w:ascii="Calibri" w:hAnsi="Calibri"/>
        </w:rPr>
        <w:t>• How do you find out what young patients WANT (not just what you think they need)?</w:t>
      </w:r>
    </w:p>
    <w:p w14:paraId="25604AC9" w14:textId="77777777" w:rsidR="00EE3019" w:rsidRDefault="00000000">
      <w:r>
        <w:rPr>
          <w:rFonts w:ascii="Calibri" w:hAnsi="Calibri"/>
        </w:rPr>
        <w:t>• Evidence of effectiveness: what outcomes would you measure?</w:t>
      </w:r>
    </w:p>
    <w:p w14:paraId="7A21D95B" w14:textId="77777777" w:rsidR="00EE3019" w:rsidRDefault="00000000">
      <w:r>
        <w:rPr>
          <w:rFonts w:ascii="Calibri" w:hAnsi="Calibri"/>
        </w:rPr>
        <w:t>• Could you suggest any QOF targets for teenage health? (Discussion: this is deliberately difficult — reflects real complexity)</w:t>
      </w:r>
    </w:p>
    <w:p w14:paraId="7F9C7E2D" w14:textId="77777777" w:rsidR="00EE3019" w:rsidRDefault="00000000">
      <w:r>
        <w:rPr>
          <w:rFonts w:ascii="Calibri" w:hAnsi="Calibri"/>
        </w:rPr>
        <w:t>• After 5 years of success — what would a "gold standard" adolescent-friendly practice look like?</w:t>
      </w:r>
    </w:p>
    <w:p w14:paraId="31A189F2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Key Clinical Updates for Trainees (2024/2025 NICE)</w:t>
      </w:r>
    </w:p>
    <w:p w14:paraId="1D35DDA9" w14:textId="77777777" w:rsidR="00EE3019" w:rsidRDefault="00000000">
      <w:r>
        <w:rPr>
          <w:rFonts w:ascii="Calibri" w:hAnsi="Calibri"/>
          <w:b/>
          <w:color w:val="1E508C"/>
        </w:rPr>
        <w:t xml:space="preserve">• Self-harm (NICE NG225, 2022 — CKS Feb 2025): </w:t>
      </w:r>
      <w:r>
        <w:rPr>
          <w:rFonts w:ascii="Calibri" w:hAnsi="Calibri"/>
        </w:rPr>
        <w:t>Do NOT use risk-assessment scales (e.g. SADPERSONS). Holistic assessment only. DBT for recurrent self-harm ≥16. Offer same-day specialist assessment to all under-18s following self-harm episode.</w:t>
      </w:r>
    </w:p>
    <w:p w14:paraId="36856095" w14:textId="77777777" w:rsidR="00EE3019" w:rsidRDefault="00000000">
      <w:r>
        <w:rPr>
          <w:rFonts w:ascii="Calibri" w:hAnsi="Calibri"/>
          <w:b/>
          <w:color w:val="1E508C"/>
        </w:rPr>
        <w:t xml:space="preserve">• Depression in under-18s (NICE NG134, 2019 — reviewed May 2024): </w:t>
      </w:r>
      <w:r>
        <w:rPr>
          <w:rFonts w:ascii="Calibri" w:hAnsi="Calibri"/>
        </w:rPr>
        <w:t>Psychological therapy first-line. Fluoxetine is the ONLY licensed SSRI in under-18s. If starting fluoxetine: weekly monitoring for first 4 weeks (MHRA warning). Refer to CAMHS if moderate-severe.</w:t>
      </w:r>
    </w:p>
    <w:p w14:paraId="35D6F2D8" w14:textId="77777777" w:rsidR="00EE3019" w:rsidRDefault="00000000">
      <w:r>
        <w:rPr>
          <w:rFonts w:ascii="Calibri" w:hAnsi="Calibri"/>
          <w:b/>
          <w:color w:val="1E508C"/>
        </w:rPr>
        <w:t xml:space="preserve">• Eating disorders (NICE NG69, 2017 — reviewed August 2024): </w:t>
      </w:r>
      <w:r>
        <w:rPr>
          <w:rFonts w:ascii="Calibri" w:hAnsi="Calibri"/>
        </w:rPr>
        <w:t>Family-based therapy (FBT/Maudsley approach) is first-line in under-18s with anorexia nervosa. Do not use antipsychotics routinely. Junior MARSIPAN criteria for urgent medical admission.</w:t>
      </w:r>
    </w:p>
    <w:p w14:paraId="122F2396" w14:textId="77777777" w:rsidR="00EE3019" w:rsidRDefault="00000000">
      <w:r>
        <w:rPr>
          <w:rFonts w:ascii="Calibri" w:hAnsi="Calibri"/>
          <w:b/>
          <w:color w:val="1E508C"/>
        </w:rPr>
        <w:lastRenderedPageBreak/>
        <w:t xml:space="preserve">• Chlamydia (BNF 2025): </w:t>
      </w:r>
      <w:r>
        <w:rPr>
          <w:rFonts w:ascii="Calibri" w:hAnsi="Calibri"/>
        </w:rPr>
        <w:t>Doxycycline 100mg BD × 7 days is FIRST-LINE. NOT azithromycin (resistance concerns). Screen under-25s opportunistically.</w:t>
      </w:r>
    </w:p>
    <w:p w14:paraId="3574E02C" w14:textId="77777777" w:rsidR="00EE3019" w:rsidRDefault="00000000">
      <w:r>
        <w:rPr>
          <w:rFonts w:ascii="Calibri" w:hAnsi="Calibri"/>
          <w:b/>
          <w:color w:val="1E508C"/>
        </w:rPr>
        <w:t xml:space="preserve">• Gonorrhoea (BNF 2025): </w:t>
      </w:r>
      <w:r>
        <w:rPr>
          <w:rFonts w:ascii="Calibri" w:hAnsi="Calibri"/>
        </w:rPr>
        <w:t>Ceftriaxone 1g IM single dose. NOT ciprofloxacin or oral alternatives (widespread resistance).</w:t>
      </w:r>
    </w:p>
    <w:p w14:paraId="5FC8D80A" w14:textId="77777777" w:rsidR="00EE3019" w:rsidRDefault="00000000">
      <w:r>
        <w:rPr>
          <w:rFonts w:ascii="Calibri" w:hAnsi="Calibri"/>
          <w:b/>
          <w:color w:val="1E508C"/>
        </w:rPr>
        <w:t xml:space="preserve">• Emergency contraception: </w:t>
      </w:r>
      <w:r>
        <w:rPr>
          <w:rFonts w:ascii="Calibri" w:hAnsi="Calibri"/>
        </w:rPr>
        <w:t>Copper IUD most effective (up to 5 days post UPSI). LNG-EC (Levonelle) up to 72h. EllaOne up to 120h. If vomiting within 2h of LNG-EC — repeat dose.</w:t>
      </w:r>
    </w:p>
    <w:p w14:paraId="3714F297" w14:textId="77777777" w:rsidR="00EE3019" w:rsidRDefault="00000000">
      <w:r>
        <w:rPr>
          <w:rFonts w:ascii="Calibri" w:hAnsi="Calibri"/>
          <w:b/>
          <w:color w:val="1E508C"/>
        </w:rPr>
        <w:t xml:space="preserve">• Heavy menstrual bleeding (NICE NG88, 2018 — CKS November 2024): </w:t>
      </w:r>
      <w:r>
        <w:rPr>
          <w:rFonts w:ascii="Calibri" w:hAnsi="Calibri"/>
        </w:rPr>
        <w:t>LNG-IUS (Mirena) is first-line medical management. Tranexamic acid or NSAIDs if IUS declined.</w:t>
      </w:r>
    </w:p>
    <w:p w14:paraId="39AB6778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AKT &amp; SCA Tips for This Tutorial</w:t>
      </w:r>
    </w:p>
    <w:p w14:paraId="7FAD2D8C" w14:textId="77777777" w:rsidR="00EE3019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Fraser criteria: know all 5. Gillick competence: 3 elements. These are regularly tested in MCQ format.</w:t>
      </w:r>
    </w:p>
    <w:p w14:paraId="31B95496" w14:textId="77777777" w:rsidR="00EE3019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Fluoxetine is the ONLY licensed SSRI in under-18s. Correct answer in any scenario involving depression in a teenager.</w:t>
      </w:r>
    </w:p>
    <w:p w14:paraId="2DEEDABB" w14:textId="77777777" w:rsidR="00EE3019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Doxycycline (NOT azithromycin) for chlamydia. Ceftriaxone 1g IM (NOT ciprofloxacin) for gonorrhoea.</w:t>
      </w:r>
    </w:p>
    <w:p w14:paraId="3F4A026A" w14:textId="77777777" w:rsidR="00EE3019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NICE NG225: risk-assessment scales should NOT be used to predict self-harm or suicide risk.</w:t>
      </w:r>
    </w:p>
    <w:p w14:paraId="154B651E" w14:textId="77777777" w:rsidR="00EE3019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Begin every adolescent consultation by assuring confidentiality — examiner will note if missed.</w:t>
      </w:r>
    </w:p>
    <w:p w14:paraId="0872E3C1" w14:textId="77777777" w:rsidR="00EE3019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Three-way consultations: address the parent AND the young person. Never let the parent dominate. Always direct final questions to the young person.</w:t>
      </w:r>
    </w:p>
    <w:p w14:paraId="3A980AE7" w14:textId="77777777" w:rsidR="00EE3019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Demonstrate HEADSSS awareness — you do not need to complete the whole framework in exam; show you know it exists.</w:t>
      </w:r>
    </w:p>
    <w:p w14:paraId="75E704B3" w14:textId="77777777" w:rsidR="00EE3019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Safety-net explicitly at the end: "Come back anytime, or call 111 / crisis team if things feel worse."</w:t>
      </w:r>
    </w:p>
    <w:p w14:paraId="3AAC3D7D" w14:textId="77777777" w:rsidR="00EE3019" w:rsidRDefault="00000000">
      <w:pPr>
        <w:pStyle w:val="Heading1"/>
      </w:pPr>
      <w:r>
        <w:rPr>
          <w:rFonts w:ascii="Calibri" w:hAnsi="Calibri"/>
          <w:color w:val="2C5F8A"/>
        </w:rPr>
        <w:t>Further Resources</w:t>
      </w:r>
    </w:p>
    <w:p w14:paraId="7CBFC4FD" w14:textId="77777777" w:rsidR="00EE3019" w:rsidRDefault="00000000">
      <w:r>
        <w:rPr>
          <w:rFonts w:ascii="Calibri" w:hAnsi="Calibri"/>
        </w:rPr>
        <w:t>• NICE NG225 — Self-harm: www.nice.org.uk/guidance/ng225</w:t>
      </w:r>
    </w:p>
    <w:p w14:paraId="63F52348" w14:textId="77777777" w:rsidR="00EE3019" w:rsidRDefault="00000000">
      <w:r>
        <w:rPr>
          <w:rFonts w:ascii="Calibri" w:hAnsi="Calibri"/>
        </w:rPr>
        <w:t>• NICE NG134 — Depression in children and young people: www.nice.org.uk/guidance/ng134</w:t>
      </w:r>
    </w:p>
    <w:p w14:paraId="4E576748" w14:textId="77777777" w:rsidR="00EE3019" w:rsidRDefault="00000000">
      <w:r>
        <w:rPr>
          <w:rFonts w:ascii="Calibri" w:hAnsi="Calibri"/>
        </w:rPr>
        <w:t>• NICE NG69 — Eating disorders: www.nice.org.uk/guidance/ng69</w:t>
      </w:r>
    </w:p>
    <w:p w14:paraId="0A22251A" w14:textId="77777777" w:rsidR="00EE3019" w:rsidRDefault="00000000">
      <w:r>
        <w:rPr>
          <w:rFonts w:ascii="Calibri" w:hAnsi="Calibri"/>
        </w:rPr>
        <w:t>• NICE NG88 — Heavy menstrual bleeding: www.nice.org.uk/guidance/ng88</w:t>
      </w:r>
    </w:p>
    <w:p w14:paraId="5AF61828" w14:textId="77777777" w:rsidR="00EE3019" w:rsidRDefault="00000000">
      <w:r>
        <w:rPr>
          <w:rFonts w:ascii="Calibri" w:hAnsi="Calibri"/>
        </w:rPr>
        <w:t>• GMC 0-18 Years guidance: www.gmc-uk.org/ethical-guidance</w:t>
      </w:r>
    </w:p>
    <w:p w14:paraId="2E099BD6" w14:textId="77777777" w:rsidR="00EE3019" w:rsidRDefault="00000000">
      <w:r>
        <w:rPr>
          <w:rFonts w:ascii="Calibri" w:hAnsi="Calibri"/>
        </w:rPr>
        <w:t>• RCGP Adolescent Health Group resources: www.rcgp.org.uk</w:t>
      </w:r>
    </w:p>
    <w:p w14:paraId="41AC2A66" w14:textId="77777777" w:rsidR="00EE3019" w:rsidRDefault="00000000">
      <w:r>
        <w:rPr>
          <w:rFonts w:ascii="Calibri" w:hAnsi="Calibri"/>
        </w:rPr>
        <w:lastRenderedPageBreak/>
        <w:t>• Bradford VTS: www.bradfordvts.co.uk</w:t>
      </w:r>
    </w:p>
    <w:p w14:paraId="04E353BD" w14:textId="77777777" w:rsidR="00EE3019" w:rsidRDefault="00000000">
      <w:r>
        <w:rPr>
          <w:rFonts w:ascii="Calibri" w:hAnsi="Calibri"/>
        </w:rPr>
        <w:t>• Kooth (online mental health, free, under-25s): www.kooth.com</w:t>
      </w:r>
    </w:p>
    <w:p w14:paraId="2010347B" w14:textId="77777777" w:rsidR="00EE3019" w:rsidRDefault="00000000">
      <w:r>
        <w:rPr>
          <w:rFonts w:ascii="Calibri" w:hAnsi="Calibri"/>
        </w:rPr>
        <w:t>• Young Minds: www.youngminds.org.uk | Crisis text: text YM to 85258</w:t>
      </w:r>
    </w:p>
    <w:p w14:paraId="28BA1CB7" w14:textId="77777777" w:rsidR="00EE3019" w:rsidRDefault="00000000">
      <w:r>
        <w:rPr>
          <w:rFonts w:ascii="Calibri" w:hAnsi="Calibri"/>
        </w:rPr>
        <w:t>• Brook (sexual health): www.brook.org.uk</w:t>
      </w:r>
    </w:p>
    <w:p w14:paraId="06EC5DA5" w14:textId="77777777" w:rsidR="00EE3019" w:rsidRDefault="00000000">
      <w:r>
        <w:rPr>
          <w:rFonts w:ascii="Calibri" w:hAnsi="Calibri"/>
        </w:rPr>
        <w:t>• BEAT (eating disorders): www.beateatingdisorders.org.uk</w:t>
      </w:r>
    </w:p>
    <w:p w14:paraId="34D12928" w14:textId="77777777" w:rsidR="00EE3019" w:rsidRDefault="00EE30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EE3019" w14:paraId="356B0F3D" w14:textId="77777777">
        <w:tc>
          <w:tcPr>
            <w:tcW w:w="9360" w:type="dxa"/>
            <w:shd w:val="clear" w:color="auto" w:fill="FFF3CD"/>
          </w:tcPr>
          <w:p w14:paraId="5724AF6F" w14:textId="77777777" w:rsidR="00EE3019" w:rsidRDefault="00000000">
            <w:r>
              <w:rPr>
                <w:rFonts w:ascii="Calibri" w:hAnsi="Calibri"/>
                <w:color w:val="854D0E"/>
                <w:sz w:val="20"/>
              </w:rPr>
              <w:t>⚠ Disclaimer: Always double check this advice and drug doses with the latest NICE/BNF guidance. This document is for educational purposes only.</w:t>
            </w:r>
          </w:p>
        </w:tc>
      </w:tr>
    </w:tbl>
    <w:p w14:paraId="67346FCC" w14:textId="77777777" w:rsidR="001D02A5" w:rsidRDefault="001D02A5"/>
    <w:sectPr w:rsidR="001D02A5" w:rsidSect="00034616"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28C85" w14:textId="77777777" w:rsidR="001D02A5" w:rsidRDefault="001D02A5">
      <w:pPr>
        <w:spacing w:after="0" w:line="240" w:lineRule="auto"/>
      </w:pPr>
      <w:r>
        <w:separator/>
      </w:r>
    </w:p>
  </w:endnote>
  <w:endnote w:type="continuationSeparator" w:id="0">
    <w:p w14:paraId="3AB5BF4E" w14:textId="77777777" w:rsidR="001D02A5" w:rsidRDefault="001D0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6A4B7" w14:textId="77777777" w:rsidR="00EE3019" w:rsidRDefault="00000000">
    <w:pPr>
      <w:pStyle w:val="Footer"/>
      <w:jc w:val="center"/>
    </w:pPr>
    <w:r>
      <w:rPr>
        <w:color w:val="808080"/>
        <w:sz w:val="16"/>
      </w:rPr>
      <w:t>A free resource provided by www.bradfordvts.co.uk, Dr Ramesh Mehay | Revised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9957A" w14:textId="77777777" w:rsidR="001D02A5" w:rsidRDefault="001D02A5">
      <w:pPr>
        <w:spacing w:after="0" w:line="240" w:lineRule="auto"/>
      </w:pPr>
      <w:r>
        <w:separator/>
      </w:r>
    </w:p>
  </w:footnote>
  <w:footnote w:type="continuationSeparator" w:id="0">
    <w:p w14:paraId="178B0F82" w14:textId="77777777" w:rsidR="001D02A5" w:rsidRDefault="001D02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4992265">
    <w:abstractNumId w:val="8"/>
  </w:num>
  <w:num w:numId="2" w16cid:durableId="69888717">
    <w:abstractNumId w:val="6"/>
  </w:num>
  <w:num w:numId="3" w16cid:durableId="1785150145">
    <w:abstractNumId w:val="5"/>
  </w:num>
  <w:num w:numId="4" w16cid:durableId="1380714094">
    <w:abstractNumId w:val="4"/>
  </w:num>
  <w:num w:numId="5" w16cid:durableId="419571639">
    <w:abstractNumId w:val="7"/>
  </w:num>
  <w:num w:numId="6" w16cid:durableId="1270893463">
    <w:abstractNumId w:val="3"/>
  </w:num>
  <w:num w:numId="7" w16cid:durableId="1254970782">
    <w:abstractNumId w:val="2"/>
  </w:num>
  <w:num w:numId="8" w16cid:durableId="824783694">
    <w:abstractNumId w:val="1"/>
  </w:num>
  <w:num w:numId="9" w16cid:durableId="1201891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D02A5"/>
    <w:rsid w:val="0029639D"/>
    <w:rsid w:val="00326F90"/>
    <w:rsid w:val="003A31FC"/>
    <w:rsid w:val="00AA1D8D"/>
    <w:rsid w:val="00B47730"/>
    <w:rsid w:val="00CB0664"/>
    <w:rsid w:val="00EB6C76"/>
    <w:rsid w:val="00EE301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F50B04"/>
  <w14:defaultImageDpi w14:val="300"/>
  <w15:docId w15:val="{2CA6F044-CBA3-4EA8-961A-B310C24F4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1841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12311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2026-05-23T17:59:00Z</dcterms:modified>
  <cp:category/>
</cp:coreProperties>
</file>