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5A0FE4" w14:paraId="4D4F71F8" w14:textId="77777777">
        <w:trPr>
          <w:jc w:val="center"/>
        </w:trPr>
        <w:tc>
          <w:tcPr>
            <w:tcW w:w="9406" w:type="dxa"/>
            <w:shd w:val="clear" w:color="auto" w:fill="E0651F"/>
          </w:tcPr>
          <w:p w14:paraId="792E7BE8" w14:textId="77777777" w:rsidR="005A0FE4" w:rsidRDefault="00000000">
            <w:pPr>
              <w:spacing w:before="200"/>
              <w:jc w:val="center"/>
            </w:pPr>
            <w:r>
              <w:rPr>
                <w:rFonts w:ascii="Calibri" w:hAnsi="Calibri"/>
                <w:b/>
                <w:caps/>
                <w:color w:val="FFFFFF"/>
              </w:rPr>
              <w:t>BRADFORD VTS TEACHING AIDS</w:t>
            </w:r>
          </w:p>
          <w:p w14:paraId="07545FB5" w14:textId="77777777" w:rsidR="005A0FE4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64"/>
              </w:rPr>
              <w:t>CKD Annual Review — Comprehensive Checklist</w:t>
            </w:r>
          </w:p>
          <w:p w14:paraId="4AE84FEF" w14:textId="77777777" w:rsidR="005A0FE4" w:rsidRDefault="00000000">
            <w:pPr>
              <w:jc w:val="center"/>
            </w:pPr>
            <w:r>
              <w:rPr>
                <w:rFonts w:ascii="Calibri" w:hAnsi="Calibri"/>
                <w:i/>
                <w:color w:val="FFF0DC"/>
                <w:sz w:val="24"/>
              </w:rPr>
              <w:t>Clinical Reference · Bradford VTS · May 2026</w:t>
            </w:r>
          </w:p>
        </w:tc>
      </w:tr>
    </w:tbl>
    <w:p w14:paraId="7BD41161" w14:textId="77777777" w:rsidR="005A0FE4" w:rsidRDefault="00000000">
      <w:pPr>
        <w:jc w:val="center"/>
      </w:pPr>
      <w:r>
        <w:rPr>
          <w:noProof/>
        </w:rPr>
        <w:drawing>
          <wp:inline distT="0" distB="0" distL="0" distR="0" wp14:anchorId="2A5D540E" wp14:editId="596E6983">
            <wp:extent cx="5669280" cy="31915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kd_kidney_img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319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BB1B9" w14:textId="77777777" w:rsidR="005A0FE4" w:rsidRDefault="00000000">
      <w:pPr>
        <w:jc w:val="center"/>
      </w:pPr>
      <w:r>
        <w:rPr>
          <w:i/>
          <w:color w:val="646464"/>
          <w:sz w:val="18"/>
        </w:rPr>
        <w:t>The CKD annual review is a systematic assessment to prevent disease progression and manage complications.</w:t>
      </w:r>
    </w:p>
    <w:p w14:paraId="02CDC6E0" w14:textId="77777777" w:rsidR="005A0FE4" w:rsidRDefault="005A0FE4"/>
    <w:p w14:paraId="2B53297C" w14:textId="77777777" w:rsidR="005A0FE4" w:rsidRDefault="00000000">
      <w:pPr>
        <w:spacing w:before="240" w:after="80"/>
      </w:pPr>
      <w:r>
        <w:rPr>
          <w:rFonts w:ascii="Calibri" w:hAnsi="Calibri"/>
          <w:b/>
          <w:color w:val="1B4F8A"/>
          <w:sz w:val="28"/>
        </w:rPr>
        <w:t>1. Clinical Observations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03"/>
        <w:gridCol w:w="4703"/>
      </w:tblGrid>
      <w:tr w:rsidR="005A0FE4" w14:paraId="3764D8CF" w14:textId="77777777">
        <w:tc>
          <w:tcPr>
            <w:tcW w:w="4703" w:type="dxa"/>
            <w:shd w:val="clear" w:color="auto" w:fill="1B4F8A"/>
          </w:tcPr>
          <w:p w14:paraId="306B5709" w14:textId="77777777" w:rsidR="005A0FE4" w:rsidRDefault="00000000">
            <w:r>
              <w:rPr>
                <w:rFonts w:ascii="Calibri" w:hAnsi="Calibri"/>
                <w:b/>
                <w:color w:val="FFFFFF"/>
                <w:sz w:val="20"/>
              </w:rPr>
              <w:t>Observation</w:t>
            </w:r>
          </w:p>
        </w:tc>
        <w:tc>
          <w:tcPr>
            <w:tcW w:w="4703" w:type="dxa"/>
            <w:shd w:val="clear" w:color="auto" w:fill="1B4F8A"/>
          </w:tcPr>
          <w:p w14:paraId="20F6CEB6" w14:textId="77777777" w:rsidR="005A0FE4" w:rsidRDefault="00000000">
            <w:r>
              <w:rPr>
                <w:rFonts w:ascii="Calibri" w:hAnsi="Calibri"/>
                <w:b/>
                <w:color w:val="FFFFFF"/>
                <w:sz w:val="20"/>
              </w:rPr>
              <w:t>Notes / Target</w:t>
            </w:r>
          </w:p>
        </w:tc>
      </w:tr>
      <w:tr w:rsidR="005A0FE4" w14:paraId="7D469281" w14:textId="77777777">
        <w:tc>
          <w:tcPr>
            <w:tcW w:w="4703" w:type="dxa"/>
          </w:tcPr>
          <w:p w14:paraId="32DE5BFC" w14:textId="77777777" w:rsidR="005A0FE4" w:rsidRDefault="00000000">
            <w:r>
              <w:rPr>
                <w:rFonts w:ascii="Calibri" w:hAnsi="Calibri"/>
                <w:sz w:val="20"/>
              </w:rPr>
              <w:t>Weight / BMI</w:t>
            </w:r>
          </w:p>
        </w:tc>
        <w:tc>
          <w:tcPr>
            <w:tcW w:w="4703" w:type="dxa"/>
          </w:tcPr>
          <w:p w14:paraId="177BA3C6" w14:textId="77777777" w:rsidR="005A0FE4" w:rsidRDefault="00000000">
            <w:r>
              <w:rPr>
                <w:rFonts w:ascii="Calibri" w:hAnsi="Calibri"/>
                <w:sz w:val="20"/>
              </w:rPr>
              <w:t>Document change from last visit</w:t>
            </w:r>
          </w:p>
        </w:tc>
      </w:tr>
      <w:tr w:rsidR="005A0FE4" w14:paraId="1A4CE0D5" w14:textId="77777777">
        <w:tc>
          <w:tcPr>
            <w:tcW w:w="4703" w:type="dxa"/>
          </w:tcPr>
          <w:p w14:paraId="176F6C2E" w14:textId="77777777" w:rsidR="005A0FE4" w:rsidRDefault="00000000">
            <w:r>
              <w:rPr>
                <w:rFonts w:ascii="Calibri" w:hAnsi="Calibri"/>
                <w:sz w:val="20"/>
              </w:rPr>
              <w:t>Blood pressure (sitting)</w:t>
            </w:r>
          </w:p>
        </w:tc>
        <w:tc>
          <w:tcPr>
            <w:tcW w:w="4703" w:type="dxa"/>
          </w:tcPr>
          <w:p w14:paraId="2895EA5E" w14:textId="77777777" w:rsidR="005A0FE4" w:rsidRDefault="00000000">
            <w:r>
              <w:rPr>
                <w:rFonts w:ascii="Calibri" w:hAnsi="Calibri"/>
                <w:sz w:val="20"/>
              </w:rPr>
              <w:t>Target &lt;140/90; &lt;130/80 if ACR ≥70 mg/mmol</w:t>
            </w:r>
          </w:p>
        </w:tc>
      </w:tr>
      <w:tr w:rsidR="005A0FE4" w14:paraId="52FEDF1B" w14:textId="77777777">
        <w:tc>
          <w:tcPr>
            <w:tcW w:w="4703" w:type="dxa"/>
          </w:tcPr>
          <w:p w14:paraId="125A0633" w14:textId="77777777" w:rsidR="005A0FE4" w:rsidRDefault="00000000">
            <w:r>
              <w:rPr>
                <w:rFonts w:ascii="Calibri" w:hAnsi="Calibri"/>
                <w:sz w:val="20"/>
              </w:rPr>
              <w:t>Blood pressure (standing)</w:t>
            </w:r>
          </w:p>
        </w:tc>
        <w:tc>
          <w:tcPr>
            <w:tcW w:w="4703" w:type="dxa"/>
          </w:tcPr>
          <w:p w14:paraId="22AC9C8F" w14:textId="77777777" w:rsidR="005A0FE4" w:rsidRDefault="00000000">
            <w:r>
              <w:rPr>
                <w:rFonts w:ascii="Calibri" w:hAnsi="Calibri"/>
                <w:sz w:val="20"/>
              </w:rPr>
              <w:t>Check for postural hypotension, especially elderly</w:t>
            </w:r>
          </w:p>
        </w:tc>
      </w:tr>
      <w:tr w:rsidR="005A0FE4" w14:paraId="7CD55694" w14:textId="77777777">
        <w:tc>
          <w:tcPr>
            <w:tcW w:w="4703" w:type="dxa"/>
          </w:tcPr>
          <w:p w14:paraId="16C201C0" w14:textId="77777777" w:rsidR="005A0FE4" w:rsidRDefault="00000000">
            <w:r>
              <w:rPr>
                <w:rFonts w:ascii="Calibri" w:hAnsi="Calibri"/>
                <w:sz w:val="20"/>
              </w:rPr>
              <w:t>Heart rate and rhythm</w:t>
            </w:r>
          </w:p>
        </w:tc>
        <w:tc>
          <w:tcPr>
            <w:tcW w:w="4703" w:type="dxa"/>
          </w:tcPr>
          <w:p w14:paraId="2BC9EEA7" w14:textId="77777777" w:rsidR="005A0FE4" w:rsidRDefault="00000000">
            <w:r>
              <w:rPr>
                <w:rFonts w:ascii="Calibri" w:hAnsi="Calibri"/>
                <w:sz w:val="20"/>
              </w:rPr>
              <w:t>Screen for atrial fibrillation — common in CKD</w:t>
            </w:r>
          </w:p>
        </w:tc>
      </w:tr>
      <w:tr w:rsidR="005A0FE4" w14:paraId="5A62AC36" w14:textId="77777777">
        <w:tc>
          <w:tcPr>
            <w:tcW w:w="4703" w:type="dxa"/>
          </w:tcPr>
          <w:p w14:paraId="1F676AC5" w14:textId="77777777" w:rsidR="005A0FE4" w:rsidRDefault="00000000">
            <w:r>
              <w:rPr>
                <w:rFonts w:ascii="Calibri" w:hAnsi="Calibri"/>
                <w:sz w:val="20"/>
              </w:rPr>
              <w:t>Peripheral oedema</w:t>
            </w:r>
          </w:p>
        </w:tc>
        <w:tc>
          <w:tcPr>
            <w:tcW w:w="4703" w:type="dxa"/>
          </w:tcPr>
          <w:p w14:paraId="5D77DCE9" w14:textId="77777777" w:rsidR="005A0FE4" w:rsidRDefault="00000000">
            <w:r>
              <w:rPr>
                <w:rFonts w:ascii="Calibri" w:hAnsi="Calibri"/>
                <w:sz w:val="20"/>
              </w:rPr>
              <w:t>Note degree; suggests fluid retention/declining GFR</w:t>
            </w:r>
          </w:p>
        </w:tc>
      </w:tr>
    </w:tbl>
    <w:p w14:paraId="16757E18" w14:textId="77777777" w:rsidR="005A0FE4" w:rsidRDefault="005A0FE4"/>
    <w:p w14:paraId="4D67FB5F" w14:textId="77777777" w:rsidR="00317C34" w:rsidRDefault="00317C34">
      <w:pPr>
        <w:rPr>
          <w:rFonts w:ascii="Calibri" w:hAnsi="Calibri"/>
          <w:b/>
          <w:color w:val="1B4F8A"/>
          <w:sz w:val="28"/>
        </w:rPr>
      </w:pPr>
      <w:r>
        <w:rPr>
          <w:rFonts w:ascii="Calibri" w:hAnsi="Calibri"/>
          <w:b/>
          <w:color w:val="1B4F8A"/>
          <w:sz w:val="28"/>
        </w:rPr>
        <w:br w:type="page"/>
      </w:r>
    </w:p>
    <w:p w14:paraId="34731677" w14:textId="46192331" w:rsidR="005A0FE4" w:rsidRDefault="00000000">
      <w:pPr>
        <w:spacing w:before="240" w:after="80"/>
      </w:pPr>
      <w:r>
        <w:rPr>
          <w:rFonts w:ascii="Calibri" w:hAnsi="Calibri"/>
          <w:b/>
          <w:color w:val="1B4F8A"/>
          <w:sz w:val="28"/>
        </w:rPr>
        <w:lastRenderedPageBreak/>
        <w:t>2. Blood Tests (NICE NG203)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03"/>
        <w:gridCol w:w="4703"/>
      </w:tblGrid>
      <w:tr w:rsidR="005A0FE4" w14:paraId="55D78222" w14:textId="77777777">
        <w:tc>
          <w:tcPr>
            <w:tcW w:w="4703" w:type="dxa"/>
            <w:shd w:val="clear" w:color="auto" w:fill="1B4F8A"/>
          </w:tcPr>
          <w:p w14:paraId="3E31B277" w14:textId="77777777" w:rsidR="005A0FE4" w:rsidRDefault="00000000">
            <w:r>
              <w:rPr>
                <w:rFonts w:ascii="Calibri" w:hAnsi="Calibri"/>
                <w:b/>
                <w:color w:val="FFFFFF"/>
                <w:sz w:val="20"/>
              </w:rPr>
              <w:t>Test</w:t>
            </w:r>
          </w:p>
        </w:tc>
        <w:tc>
          <w:tcPr>
            <w:tcW w:w="4703" w:type="dxa"/>
            <w:shd w:val="clear" w:color="auto" w:fill="1B4F8A"/>
          </w:tcPr>
          <w:p w14:paraId="139853E7" w14:textId="77777777" w:rsidR="005A0FE4" w:rsidRDefault="00000000">
            <w:r>
              <w:rPr>
                <w:rFonts w:ascii="Calibri" w:hAnsi="Calibri"/>
                <w:b/>
                <w:color w:val="FFFFFF"/>
                <w:sz w:val="20"/>
              </w:rPr>
              <w:t>Rationale / Action</w:t>
            </w:r>
          </w:p>
        </w:tc>
      </w:tr>
      <w:tr w:rsidR="005A0FE4" w14:paraId="7D7137EE" w14:textId="77777777">
        <w:tc>
          <w:tcPr>
            <w:tcW w:w="4703" w:type="dxa"/>
          </w:tcPr>
          <w:p w14:paraId="47A83B8D" w14:textId="77777777" w:rsidR="005A0FE4" w:rsidRDefault="00000000">
            <w:r>
              <w:rPr>
                <w:rFonts w:ascii="Calibri" w:hAnsi="Calibri"/>
                <w:sz w:val="20"/>
              </w:rPr>
              <w:t>Urea and electrolytes (U&amp;E)</w:t>
            </w:r>
          </w:p>
        </w:tc>
        <w:tc>
          <w:tcPr>
            <w:tcW w:w="4703" w:type="dxa"/>
          </w:tcPr>
          <w:p w14:paraId="1C016AF7" w14:textId="77777777" w:rsidR="005A0FE4" w:rsidRDefault="00000000">
            <w:r>
              <w:rPr>
                <w:rFonts w:ascii="Calibri" w:hAnsi="Calibri"/>
                <w:sz w:val="20"/>
              </w:rPr>
              <w:t>eGFR trend, creatinine, potassium, sodium, bicarbonate</w:t>
            </w:r>
          </w:p>
        </w:tc>
      </w:tr>
      <w:tr w:rsidR="005A0FE4" w14:paraId="28B54E23" w14:textId="77777777">
        <w:tc>
          <w:tcPr>
            <w:tcW w:w="4703" w:type="dxa"/>
          </w:tcPr>
          <w:p w14:paraId="7B7B9A1F" w14:textId="77777777" w:rsidR="005A0FE4" w:rsidRDefault="00000000">
            <w:r>
              <w:rPr>
                <w:rFonts w:ascii="Calibri" w:hAnsi="Calibri"/>
                <w:sz w:val="20"/>
              </w:rPr>
              <w:t>eGFR</w:t>
            </w:r>
          </w:p>
        </w:tc>
        <w:tc>
          <w:tcPr>
            <w:tcW w:w="4703" w:type="dxa"/>
          </w:tcPr>
          <w:p w14:paraId="4FD4906C" w14:textId="77777777" w:rsidR="005A0FE4" w:rsidRDefault="00000000">
            <w:r>
              <w:rPr>
                <w:rFonts w:ascii="Calibri" w:hAnsi="Calibri"/>
                <w:sz w:val="20"/>
              </w:rPr>
              <w:t>Document G-stage; compare to previous — assess rate of decline</w:t>
            </w:r>
          </w:p>
        </w:tc>
      </w:tr>
      <w:tr w:rsidR="005A0FE4" w14:paraId="3C72135E" w14:textId="77777777">
        <w:tc>
          <w:tcPr>
            <w:tcW w:w="4703" w:type="dxa"/>
          </w:tcPr>
          <w:p w14:paraId="4E835275" w14:textId="77777777" w:rsidR="005A0FE4" w:rsidRDefault="00000000">
            <w:r>
              <w:rPr>
                <w:rFonts w:ascii="Calibri" w:hAnsi="Calibri"/>
                <w:sz w:val="20"/>
              </w:rPr>
              <w:t>Serum potassium</w:t>
            </w:r>
          </w:p>
        </w:tc>
        <w:tc>
          <w:tcPr>
            <w:tcW w:w="4703" w:type="dxa"/>
          </w:tcPr>
          <w:p w14:paraId="1EFF1FC2" w14:textId="77777777" w:rsidR="005A0FE4" w:rsidRDefault="00000000">
            <w:r>
              <w:rPr>
                <w:rFonts w:ascii="Calibri" w:hAnsi="Calibri"/>
                <w:sz w:val="20"/>
              </w:rPr>
              <w:t>Critical if on ACEi/ARB; K+ &gt;5.5 → action; &gt;6.0 → stop ACEi/ARB</w:t>
            </w:r>
          </w:p>
        </w:tc>
      </w:tr>
      <w:tr w:rsidR="005A0FE4" w14:paraId="36F1948D" w14:textId="77777777">
        <w:tc>
          <w:tcPr>
            <w:tcW w:w="4703" w:type="dxa"/>
          </w:tcPr>
          <w:p w14:paraId="7F5DD855" w14:textId="77777777" w:rsidR="005A0FE4" w:rsidRDefault="00000000">
            <w:r>
              <w:rPr>
                <w:rFonts w:ascii="Calibri" w:hAnsi="Calibri"/>
                <w:sz w:val="20"/>
              </w:rPr>
              <w:t>Serum bicarbonate</w:t>
            </w:r>
          </w:p>
        </w:tc>
        <w:tc>
          <w:tcPr>
            <w:tcW w:w="4703" w:type="dxa"/>
          </w:tcPr>
          <w:p w14:paraId="4E413741" w14:textId="77777777" w:rsidR="005A0FE4" w:rsidRDefault="00000000">
            <w:r>
              <w:rPr>
                <w:rFonts w:ascii="Calibri" w:hAnsi="Calibri"/>
                <w:sz w:val="20"/>
              </w:rPr>
              <w:t>If &lt;22 mmol/L in G4/G5 → consider sodium bicarbonate</w:t>
            </w:r>
          </w:p>
        </w:tc>
      </w:tr>
      <w:tr w:rsidR="005A0FE4" w14:paraId="25447D9F" w14:textId="77777777">
        <w:tc>
          <w:tcPr>
            <w:tcW w:w="4703" w:type="dxa"/>
          </w:tcPr>
          <w:p w14:paraId="6CDCBA30" w14:textId="77777777" w:rsidR="005A0FE4" w:rsidRDefault="00000000">
            <w:r>
              <w:rPr>
                <w:rFonts w:ascii="Calibri" w:hAnsi="Calibri"/>
                <w:sz w:val="20"/>
              </w:rPr>
              <w:t>Full blood count (FBC)</w:t>
            </w:r>
          </w:p>
        </w:tc>
        <w:tc>
          <w:tcPr>
            <w:tcW w:w="4703" w:type="dxa"/>
          </w:tcPr>
          <w:p w14:paraId="6ADFC2E3" w14:textId="77777777" w:rsidR="005A0FE4" w:rsidRDefault="00000000">
            <w:r>
              <w:rPr>
                <w:rFonts w:ascii="Calibri" w:hAnsi="Calibri"/>
                <w:sz w:val="20"/>
              </w:rPr>
              <w:t>From G3b onwards; investigate Hb &lt;110 g/L</w:t>
            </w:r>
          </w:p>
        </w:tc>
      </w:tr>
      <w:tr w:rsidR="005A0FE4" w14:paraId="3E8453FE" w14:textId="77777777">
        <w:tc>
          <w:tcPr>
            <w:tcW w:w="4703" w:type="dxa"/>
          </w:tcPr>
          <w:p w14:paraId="4F93F9AE" w14:textId="77777777" w:rsidR="005A0FE4" w:rsidRDefault="00000000">
            <w:r>
              <w:rPr>
                <w:rFonts w:ascii="Calibri" w:hAnsi="Calibri"/>
                <w:sz w:val="20"/>
              </w:rPr>
              <w:t>Serum ferritin</w:t>
            </w:r>
          </w:p>
        </w:tc>
        <w:tc>
          <w:tcPr>
            <w:tcW w:w="4703" w:type="dxa"/>
          </w:tcPr>
          <w:p w14:paraId="7ADE5589" w14:textId="77777777" w:rsidR="005A0FE4" w:rsidRDefault="00000000">
            <w:r>
              <w:rPr>
                <w:rFonts w:ascii="Calibri" w:hAnsi="Calibri"/>
                <w:sz w:val="20"/>
              </w:rPr>
              <w:t>If anaemia suspected or G3b+; ferritin &lt;100 → oral iron</w:t>
            </w:r>
          </w:p>
        </w:tc>
      </w:tr>
      <w:tr w:rsidR="005A0FE4" w14:paraId="04CF81BC" w14:textId="77777777">
        <w:tc>
          <w:tcPr>
            <w:tcW w:w="4703" w:type="dxa"/>
          </w:tcPr>
          <w:p w14:paraId="75970E69" w14:textId="77777777" w:rsidR="005A0FE4" w:rsidRDefault="00000000">
            <w:r>
              <w:rPr>
                <w:rFonts w:ascii="Calibri" w:hAnsi="Calibri"/>
                <w:sz w:val="20"/>
              </w:rPr>
              <w:t>HbA1c</w:t>
            </w:r>
          </w:p>
        </w:tc>
        <w:tc>
          <w:tcPr>
            <w:tcW w:w="4703" w:type="dxa"/>
          </w:tcPr>
          <w:p w14:paraId="3F10DBDD" w14:textId="77777777" w:rsidR="005A0FE4" w:rsidRDefault="00000000">
            <w:r>
              <w:rPr>
                <w:rFonts w:ascii="Calibri" w:hAnsi="Calibri"/>
                <w:sz w:val="20"/>
              </w:rPr>
              <w:t>If diabetic — glycaemic control affects CKD progression</w:t>
            </w:r>
          </w:p>
        </w:tc>
      </w:tr>
      <w:tr w:rsidR="005A0FE4" w14:paraId="01B550A1" w14:textId="77777777">
        <w:tc>
          <w:tcPr>
            <w:tcW w:w="4703" w:type="dxa"/>
          </w:tcPr>
          <w:p w14:paraId="27B0B19C" w14:textId="77777777" w:rsidR="005A0FE4" w:rsidRDefault="00000000">
            <w:r>
              <w:rPr>
                <w:rFonts w:ascii="Calibri" w:hAnsi="Calibri"/>
                <w:sz w:val="20"/>
              </w:rPr>
              <w:t>Cholesterol / lipids</w:t>
            </w:r>
          </w:p>
        </w:tc>
        <w:tc>
          <w:tcPr>
            <w:tcW w:w="4703" w:type="dxa"/>
          </w:tcPr>
          <w:p w14:paraId="409A7CDF" w14:textId="77777777" w:rsidR="005A0FE4" w:rsidRDefault="00000000">
            <w:r>
              <w:rPr>
                <w:rFonts w:ascii="Calibri" w:hAnsi="Calibri"/>
                <w:sz w:val="20"/>
              </w:rPr>
              <w:t>Annual; offer atorvastatin 20mg to ALL CKD patients</w:t>
            </w:r>
          </w:p>
        </w:tc>
      </w:tr>
      <w:tr w:rsidR="005A0FE4" w14:paraId="57AB4640" w14:textId="77777777">
        <w:tc>
          <w:tcPr>
            <w:tcW w:w="4703" w:type="dxa"/>
          </w:tcPr>
          <w:p w14:paraId="23E2ED42" w14:textId="77777777" w:rsidR="005A0FE4" w:rsidRDefault="00000000">
            <w:r>
              <w:rPr>
                <w:rFonts w:ascii="Calibri" w:hAnsi="Calibri"/>
                <w:sz w:val="20"/>
              </w:rPr>
              <w:t>Calcium</w:t>
            </w:r>
          </w:p>
        </w:tc>
        <w:tc>
          <w:tcPr>
            <w:tcW w:w="4703" w:type="dxa"/>
          </w:tcPr>
          <w:p w14:paraId="53B4BC5E" w14:textId="77777777" w:rsidR="005A0FE4" w:rsidRDefault="00000000">
            <w:r>
              <w:rPr>
                <w:rFonts w:ascii="Calibri" w:hAnsi="Calibri"/>
                <w:sz w:val="20"/>
              </w:rPr>
              <w:t>G4/G5 — risk of hypocalcaemia from reduced vitamin D</w:t>
            </w:r>
          </w:p>
        </w:tc>
      </w:tr>
      <w:tr w:rsidR="005A0FE4" w14:paraId="64C0FB52" w14:textId="77777777">
        <w:tc>
          <w:tcPr>
            <w:tcW w:w="4703" w:type="dxa"/>
          </w:tcPr>
          <w:p w14:paraId="60B2F8DD" w14:textId="77777777" w:rsidR="005A0FE4" w:rsidRDefault="00000000">
            <w:r>
              <w:rPr>
                <w:rFonts w:ascii="Calibri" w:hAnsi="Calibri"/>
                <w:sz w:val="20"/>
              </w:rPr>
              <w:t>Phosphate</w:t>
            </w:r>
          </w:p>
        </w:tc>
        <w:tc>
          <w:tcPr>
            <w:tcW w:w="4703" w:type="dxa"/>
          </w:tcPr>
          <w:p w14:paraId="4D021A8A" w14:textId="77777777" w:rsidR="005A0FE4" w:rsidRDefault="00000000">
            <w:r>
              <w:rPr>
                <w:rFonts w:ascii="Calibri" w:hAnsi="Calibri"/>
                <w:sz w:val="20"/>
              </w:rPr>
              <w:t>G4/G5 — hyperphosphataemia drives secondary hyperPTH</w:t>
            </w:r>
          </w:p>
        </w:tc>
      </w:tr>
      <w:tr w:rsidR="005A0FE4" w14:paraId="00D5491E" w14:textId="77777777">
        <w:tc>
          <w:tcPr>
            <w:tcW w:w="4703" w:type="dxa"/>
          </w:tcPr>
          <w:p w14:paraId="5A7654CD" w14:textId="77777777" w:rsidR="005A0FE4" w:rsidRDefault="00000000">
            <w:r>
              <w:rPr>
                <w:rFonts w:ascii="Calibri" w:hAnsi="Calibri"/>
                <w:sz w:val="20"/>
              </w:rPr>
              <w:t>PTH (parathyroid hormone)</w:t>
            </w:r>
          </w:p>
        </w:tc>
        <w:tc>
          <w:tcPr>
            <w:tcW w:w="4703" w:type="dxa"/>
          </w:tcPr>
          <w:p w14:paraId="08A0186A" w14:textId="77777777" w:rsidR="005A0FE4" w:rsidRDefault="00000000">
            <w:r>
              <w:rPr>
                <w:rFonts w:ascii="Calibri" w:hAnsi="Calibri"/>
                <w:sz w:val="20"/>
              </w:rPr>
              <w:t>G4/G5 — elevated = secondary hyperparathyroidism</w:t>
            </w:r>
          </w:p>
        </w:tc>
      </w:tr>
      <w:tr w:rsidR="005A0FE4" w14:paraId="3F984FD8" w14:textId="77777777">
        <w:tc>
          <w:tcPr>
            <w:tcW w:w="4703" w:type="dxa"/>
          </w:tcPr>
          <w:p w14:paraId="1162B6A1" w14:textId="77777777" w:rsidR="005A0FE4" w:rsidRDefault="00000000">
            <w:r>
              <w:rPr>
                <w:rFonts w:ascii="Calibri" w:hAnsi="Calibri"/>
                <w:sz w:val="20"/>
              </w:rPr>
              <w:t>Vitamin D (25-OH)</w:t>
            </w:r>
          </w:p>
        </w:tc>
        <w:tc>
          <w:tcPr>
            <w:tcW w:w="4703" w:type="dxa"/>
          </w:tcPr>
          <w:p w14:paraId="1304F0D8" w14:textId="77777777" w:rsidR="005A0FE4" w:rsidRDefault="00000000">
            <w:r>
              <w:rPr>
                <w:rFonts w:ascii="Calibri" w:hAnsi="Calibri"/>
                <w:sz w:val="20"/>
              </w:rPr>
              <w:t>Baseline, especially if supplementing</w:t>
            </w:r>
          </w:p>
        </w:tc>
      </w:tr>
    </w:tbl>
    <w:p w14:paraId="513BEA98" w14:textId="77777777" w:rsidR="005A0FE4" w:rsidRDefault="005A0FE4"/>
    <w:p w14:paraId="02A3B891" w14:textId="77777777" w:rsidR="005A0FE4" w:rsidRDefault="00000000">
      <w:pPr>
        <w:spacing w:before="240" w:after="80"/>
      </w:pPr>
      <w:r>
        <w:rPr>
          <w:rFonts w:ascii="Calibri" w:hAnsi="Calibri"/>
          <w:b/>
          <w:color w:val="1B4F8A"/>
          <w:sz w:val="28"/>
        </w:rPr>
        <w:t>3. Urine Tests</w:t>
      </w:r>
    </w:p>
    <w:p w14:paraId="5DEC4301" w14:textId="77777777" w:rsidR="005A0FE4" w:rsidRDefault="00000000">
      <w:pPr>
        <w:spacing w:after="60"/>
      </w:pPr>
      <w:r>
        <w:rPr>
          <w:rFonts w:ascii="Calibri" w:hAnsi="Calibri"/>
          <w:b/>
        </w:rPr>
        <w:t xml:space="preserve">Urine dipstick for haematuria </w:t>
      </w:r>
      <w:r>
        <w:rPr>
          <w:rFonts w:ascii="Calibri" w:hAnsi="Calibri"/>
        </w:rPr>
        <w:t>Haematuria + ACR ≥30 → refer to nephrology</w:t>
      </w:r>
    </w:p>
    <w:p w14:paraId="4BD35D46" w14:textId="77777777" w:rsidR="005A0FE4" w:rsidRDefault="00000000">
      <w:pPr>
        <w:spacing w:after="60"/>
      </w:pPr>
      <w:r>
        <w:rPr>
          <w:rFonts w:ascii="Calibri" w:hAnsi="Calibri"/>
          <w:b/>
        </w:rPr>
        <w:t xml:space="preserve">Urine ACR (albumin:creatinine ratio) </w:t>
      </w:r>
      <w:r>
        <w:rPr>
          <w:rFonts w:ascii="Calibri" w:hAnsi="Calibri"/>
        </w:rPr>
        <w:t>First morning void preferred; documents A-stage; compare to previous</w:t>
      </w:r>
    </w:p>
    <w:p w14:paraId="06AE2418" w14:textId="77777777" w:rsidR="005A0FE4" w:rsidRDefault="00000000">
      <w:pPr>
        <w:spacing w:after="60"/>
      </w:pPr>
      <w:r>
        <w:rPr>
          <w:rFonts w:ascii="Calibri" w:hAnsi="Calibri"/>
          <w:b/>
        </w:rPr>
        <w:t xml:space="preserve">MSU if dipstick protein/nitrites positive </w:t>
      </w:r>
      <w:r>
        <w:rPr>
          <w:rFonts w:ascii="Calibri" w:hAnsi="Calibri"/>
        </w:rPr>
        <w:t>Exclude UTI as cause of proteinuria</w:t>
      </w:r>
    </w:p>
    <w:p w14:paraId="61AB6224" w14:textId="77777777" w:rsidR="005A0FE4" w:rsidRDefault="005A0FE4"/>
    <w:p w14:paraId="06E0EC7A" w14:textId="77777777" w:rsidR="005A0FE4" w:rsidRDefault="00000000">
      <w:pPr>
        <w:spacing w:before="240" w:after="80"/>
      </w:pPr>
      <w:r>
        <w:rPr>
          <w:rFonts w:ascii="Calibri" w:hAnsi="Calibri"/>
          <w:b/>
          <w:color w:val="1B4F8A"/>
          <w:sz w:val="28"/>
        </w:rPr>
        <w:t>4. Medication Review</w:t>
      </w:r>
    </w:p>
    <w:p w14:paraId="7DDCBF49" w14:textId="77777777" w:rsidR="005A0FE4" w:rsidRDefault="00000000">
      <w:pPr>
        <w:spacing w:after="60"/>
      </w:pPr>
      <w:r>
        <w:rPr>
          <w:rFonts w:ascii="Calibri" w:hAnsi="Calibri"/>
        </w:rPr>
        <w:t>✓ Check all medications against BNF renal impairment appendix</w:t>
      </w:r>
    </w:p>
    <w:p w14:paraId="18A351DA" w14:textId="77777777" w:rsidR="005A0FE4" w:rsidRDefault="00000000">
      <w:pPr>
        <w:spacing w:after="60"/>
      </w:pPr>
      <w:r>
        <w:rPr>
          <w:rFonts w:ascii="Calibri" w:hAnsi="Calibri"/>
        </w:rPr>
        <w:t>✓ ACEi/ARB — is patient on maximum tolerated dose?</w:t>
      </w:r>
    </w:p>
    <w:p w14:paraId="4C87D543" w14:textId="77777777" w:rsidR="005A0FE4" w:rsidRDefault="00000000">
      <w:pPr>
        <w:spacing w:after="60"/>
      </w:pPr>
      <w:r>
        <w:rPr>
          <w:rFonts w:ascii="Calibri" w:hAnsi="Calibri"/>
          <w:b/>
        </w:rPr>
        <w:t xml:space="preserve">✓ SGLT2 inhibitor eligibility: </w:t>
      </w:r>
      <w:r>
        <w:rPr>
          <w:rFonts w:ascii="Calibri" w:hAnsi="Calibri"/>
        </w:rPr>
        <w:t>Dapagliflozin TA1075 (July 2025): eGFR 20–&lt;45 (any CKD) or eGFR 45–90 with uACR ≥22.6 or T2DM</w:t>
      </w:r>
    </w:p>
    <w:p w14:paraId="120D469B" w14:textId="77777777" w:rsidR="005A0FE4" w:rsidRDefault="00000000">
      <w:pPr>
        <w:spacing w:after="60"/>
      </w:pPr>
      <w:r>
        <w:rPr>
          <w:rFonts w:ascii="Calibri" w:hAnsi="Calibri"/>
          <w:b/>
        </w:rPr>
        <w:t xml:space="preserve">✓ Statins — is atorvastatin 20mg prescribed? </w:t>
      </w:r>
      <w:r>
        <w:rPr>
          <w:rFonts w:ascii="Calibri" w:hAnsi="Calibri"/>
        </w:rPr>
        <w:t>NICE NG203: offer to ALL CKD patients</w:t>
      </w:r>
    </w:p>
    <w:p w14:paraId="225A64ED" w14:textId="77777777" w:rsidR="005A0FE4" w:rsidRDefault="00000000">
      <w:pPr>
        <w:spacing w:after="60"/>
      </w:pPr>
      <w:r>
        <w:rPr>
          <w:rFonts w:ascii="Calibri" w:hAnsi="Calibri"/>
          <w:b/>
        </w:rPr>
        <w:t xml:space="preserve">✓ Avoid NSAIDs </w:t>
      </w:r>
      <w:r>
        <w:rPr>
          <w:rFonts w:ascii="Calibri" w:hAnsi="Calibri"/>
        </w:rPr>
        <w:t>Document counselling</w:t>
      </w:r>
    </w:p>
    <w:p w14:paraId="00DEAFEB" w14:textId="77777777" w:rsidR="005A0FE4" w:rsidRDefault="00000000">
      <w:pPr>
        <w:spacing w:after="60"/>
      </w:pPr>
      <w:r>
        <w:rPr>
          <w:rFonts w:ascii="Calibri" w:hAnsi="Calibri"/>
          <w:b/>
        </w:rPr>
        <w:t xml:space="preserve">✓ Avoid nitrofurantoin if eGFR &lt;45 </w:t>
      </w:r>
      <w:r>
        <w:rPr>
          <w:rFonts w:ascii="Calibri" w:hAnsi="Calibri"/>
        </w:rPr>
        <w:t>Use trimethoprim or pivmecillinam for UTI</w:t>
      </w:r>
    </w:p>
    <w:p w14:paraId="7A0F7959" w14:textId="77777777" w:rsidR="005A0FE4" w:rsidRDefault="00000000">
      <w:pPr>
        <w:spacing w:after="60"/>
      </w:pPr>
      <w:r>
        <w:rPr>
          <w:rFonts w:ascii="Calibri" w:hAnsi="Calibri"/>
          <w:b/>
        </w:rPr>
        <w:t xml:space="preserve">✓ Metformin — check eGFR threshold </w:t>
      </w:r>
      <w:r>
        <w:rPr>
          <w:rFonts w:ascii="Calibri" w:hAnsi="Calibri"/>
        </w:rPr>
        <w:t>Contraindicated if eGFR &lt;30; caution at 30–45</w:t>
      </w:r>
    </w:p>
    <w:p w14:paraId="3EAF4744" w14:textId="77777777" w:rsidR="005A0FE4" w:rsidRDefault="00000000">
      <w:pPr>
        <w:spacing w:after="60"/>
      </w:pPr>
      <w:r>
        <w:rPr>
          <w:rFonts w:ascii="Calibri" w:hAnsi="Calibri"/>
          <w:b/>
        </w:rPr>
        <w:t xml:space="preserve">✓ Anticoagulants — check DOAC dose </w:t>
      </w:r>
      <w:r>
        <w:rPr>
          <w:rFonts w:ascii="Calibri" w:hAnsi="Calibri"/>
        </w:rPr>
        <w:t>Especially apixaban (2.5mg BD if ≥2 of: age ≥80, wt ≤60kg, Cr ≥133)</w:t>
      </w:r>
    </w:p>
    <w:p w14:paraId="654DCB5A" w14:textId="77777777" w:rsidR="005A0FE4" w:rsidRDefault="00000000">
      <w:pPr>
        <w:spacing w:after="60"/>
      </w:pPr>
      <w:r>
        <w:rPr>
          <w:rFonts w:ascii="Calibri" w:hAnsi="Calibri"/>
          <w:b/>
        </w:rPr>
        <w:t xml:space="preserve">✓ Reinforce sick day rules </w:t>
      </w:r>
      <w:r>
        <w:rPr>
          <w:rFonts w:ascii="Calibri" w:hAnsi="Calibri"/>
        </w:rPr>
        <w:t>SADMAN + SGLT2i</w:t>
      </w:r>
    </w:p>
    <w:p w14:paraId="747F18C1" w14:textId="77777777" w:rsidR="005A0FE4" w:rsidRDefault="005A0FE4"/>
    <w:p w14:paraId="4AE594E1" w14:textId="77777777" w:rsidR="005A0FE4" w:rsidRDefault="00000000">
      <w:pPr>
        <w:spacing w:before="240" w:after="80"/>
      </w:pPr>
      <w:r>
        <w:rPr>
          <w:rFonts w:ascii="Calibri" w:hAnsi="Calibri"/>
          <w:b/>
          <w:color w:val="1B4F8A"/>
          <w:sz w:val="28"/>
        </w:rPr>
        <w:lastRenderedPageBreak/>
        <w:t>5. Vaccination Status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03"/>
        <w:gridCol w:w="4703"/>
      </w:tblGrid>
      <w:tr w:rsidR="005A0FE4" w14:paraId="36A9994E" w14:textId="77777777">
        <w:tc>
          <w:tcPr>
            <w:tcW w:w="4703" w:type="dxa"/>
            <w:shd w:val="clear" w:color="auto" w:fill="1B4F8A"/>
          </w:tcPr>
          <w:p w14:paraId="648D63D0" w14:textId="77777777" w:rsidR="005A0FE4" w:rsidRDefault="00000000">
            <w:r>
              <w:rPr>
                <w:rFonts w:ascii="Calibri" w:hAnsi="Calibri"/>
                <w:b/>
                <w:color w:val="FFFFFF"/>
                <w:sz w:val="20"/>
              </w:rPr>
              <w:t>Vaccine</w:t>
            </w:r>
          </w:p>
        </w:tc>
        <w:tc>
          <w:tcPr>
            <w:tcW w:w="4703" w:type="dxa"/>
            <w:shd w:val="clear" w:color="auto" w:fill="1B4F8A"/>
          </w:tcPr>
          <w:p w14:paraId="1F3B07DE" w14:textId="77777777" w:rsidR="005A0FE4" w:rsidRDefault="00000000">
            <w:r>
              <w:rPr>
                <w:rFonts w:ascii="Calibri" w:hAnsi="Calibri"/>
                <w:b/>
                <w:color w:val="FFFFFF"/>
                <w:sz w:val="20"/>
              </w:rPr>
              <w:t>Frequency</w:t>
            </w:r>
          </w:p>
        </w:tc>
      </w:tr>
      <w:tr w:rsidR="005A0FE4" w14:paraId="398A873F" w14:textId="77777777">
        <w:tc>
          <w:tcPr>
            <w:tcW w:w="4703" w:type="dxa"/>
          </w:tcPr>
          <w:p w14:paraId="236B0E05" w14:textId="77777777" w:rsidR="005A0FE4" w:rsidRDefault="00000000">
            <w:r>
              <w:rPr>
                <w:rFonts w:ascii="Calibri" w:hAnsi="Calibri"/>
                <w:sz w:val="20"/>
              </w:rPr>
              <w:t>Influenza vaccine</w:t>
            </w:r>
          </w:p>
        </w:tc>
        <w:tc>
          <w:tcPr>
            <w:tcW w:w="4703" w:type="dxa"/>
          </w:tcPr>
          <w:p w14:paraId="5D0590A2" w14:textId="77777777" w:rsidR="005A0FE4" w:rsidRDefault="00000000">
            <w:r>
              <w:rPr>
                <w:rFonts w:ascii="Calibri" w:hAnsi="Calibri"/>
                <w:sz w:val="20"/>
              </w:rPr>
              <w:t>Annually (CKD is a clinical risk group)</w:t>
            </w:r>
          </w:p>
        </w:tc>
      </w:tr>
      <w:tr w:rsidR="005A0FE4" w14:paraId="2C890417" w14:textId="77777777">
        <w:tc>
          <w:tcPr>
            <w:tcW w:w="4703" w:type="dxa"/>
          </w:tcPr>
          <w:p w14:paraId="1273410C" w14:textId="77777777" w:rsidR="005A0FE4" w:rsidRDefault="00000000">
            <w:r>
              <w:rPr>
                <w:rFonts w:ascii="Calibri" w:hAnsi="Calibri"/>
                <w:sz w:val="20"/>
              </w:rPr>
              <w:t>Pneumococcal (PPV23)</w:t>
            </w:r>
          </w:p>
        </w:tc>
        <w:tc>
          <w:tcPr>
            <w:tcW w:w="4703" w:type="dxa"/>
          </w:tcPr>
          <w:p w14:paraId="6A9335EF" w14:textId="77777777" w:rsidR="005A0FE4" w:rsidRDefault="00000000">
            <w:r>
              <w:rPr>
                <w:rFonts w:ascii="Calibri" w:hAnsi="Calibri"/>
                <w:sz w:val="20"/>
              </w:rPr>
              <w:t>Once; repeat at 5 years if continued CKD/immunosuppression</w:t>
            </w:r>
          </w:p>
        </w:tc>
      </w:tr>
      <w:tr w:rsidR="005A0FE4" w14:paraId="1542C806" w14:textId="77777777">
        <w:tc>
          <w:tcPr>
            <w:tcW w:w="4703" w:type="dxa"/>
          </w:tcPr>
          <w:p w14:paraId="1F6EC046" w14:textId="77777777" w:rsidR="005A0FE4" w:rsidRDefault="00000000">
            <w:r>
              <w:rPr>
                <w:rFonts w:ascii="Calibri" w:hAnsi="Calibri"/>
                <w:sz w:val="20"/>
              </w:rPr>
              <w:t>COVID-19</w:t>
            </w:r>
          </w:p>
        </w:tc>
        <w:tc>
          <w:tcPr>
            <w:tcW w:w="4703" w:type="dxa"/>
          </w:tcPr>
          <w:p w14:paraId="76D2EFB4" w14:textId="77777777" w:rsidR="005A0FE4" w:rsidRDefault="00000000">
            <w:r>
              <w:rPr>
                <w:rFonts w:ascii="Calibri" w:hAnsi="Calibri"/>
                <w:sz w:val="20"/>
              </w:rPr>
              <w:t>Per current NHSE guidance</w:t>
            </w:r>
          </w:p>
        </w:tc>
      </w:tr>
      <w:tr w:rsidR="005A0FE4" w14:paraId="44F7B1FB" w14:textId="77777777">
        <w:tc>
          <w:tcPr>
            <w:tcW w:w="4703" w:type="dxa"/>
          </w:tcPr>
          <w:p w14:paraId="3E005CEE" w14:textId="77777777" w:rsidR="005A0FE4" w:rsidRDefault="00000000">
            <w:r>
              <w:rPr>
                <w:rFonts w:ascii="Calibri" w:hAnsi="Calibri"/>
                <w:sz w:val="20"/>
              </w:rPr>
              <w:t>Hepatitis B</w:t>
            </w:r>
          </w:p>
        </w:tc>
        <w:tc>
          <w:tcPr>
            <w:tcW w:w="4703" w:type="dxa"/>
          </w:tcPr>
          <w:p w14:paraId="2EF9ECA1" w14:textId="77777777" w:rsidR="005A0FE4" w:rsidRDefault="00000000">
            <w:r>
              <w:rPr>
                <w:rFonts w:ascii="Calibri" w:hAnsi="Calibri"/>
                <w:sz w:val="20"/>
              </w:rPr>
              <w:t>Consider in G4/G5 pre-dialysis (if not already immune)</w:t>
            </w:r>
          </w:p>
        </w:tc>
      </w:tr>
    </w:tbl>
    <w:p w14:paraId="6D73CDB0" w14:textId="77777777" w:rsidR="005A0FE4" w:rsidRDefault="005A0FE4"/>
    <w:p w14:paraId="0EA6BB2C" w14:textId="77777777" w:rsidR="005A0FE4" w:rsidRDefault="00000000">
      <w:pPr>
        <w:spacing w:before="240" w:after="80"/>
      </w:pPr>
      <w:r>
        <w:rPr>
          <w:rFonts w:ascii="Calibri" w:hAnsi="Calibri"/>
          <w:b/>
          <w:color w:val="1B4F8A"/>
          <w:sz w:val="28"/>
        </w:rPr>
        <w:t>6. Referral Decision</w:t>
      </w:r>
    </w:p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5A0FE4" w14:paraId="736365CB" w14:textId="77777777">
        <w:trPr>
          <w:jc w:val="center"/>
        </w:trPr>
        <w:tc>
          <w:tcPr>
            <w:tcW w:w="9406" w:type="dxa"/>
            <w:shd w:val="clear" w:color="auto" w:fill="FFEBEE"/>
          </w:tcPr>
          <w:p w14:paraId="2D673F8F" w14:textId="77777777" w:rsidR="005A0FE4" w:rsidRDefault="00000000">
            <w:pPr>
              <w:spacing w:before="120"/>
            </w:pPr>
            <w:r>
              <w:rPr>
                <w:rFonts w:ascii="Calibri" w:hAnsi="Calibri"/>
                <w:b/>
                <w:color w:val="B71C1C"/>
              </w:rPr>
              <w:t>🔴 Refer to Nephrology if:</w:t>
            </w:r>
          </w:p>
          <w:p w14:paraId="6CFE09BE" w14:textId="77777777" w:rsidR="005A0FE4" w:rsidRDefault="00000000">
            <w:r>
              <w:rPr>
                <w:rFonts w:ascii="Calibri" w:hAnsi="Calibri"/>
                <w:sz w:val="20"/>
              </w:rPr>
              <w:t>• CKD G4 or G5 (eGFR &lt;30 ml/min/1.73m²)</w:t>
            </w:r>
          </w:p>
          <w:p w14:paraId="68C8B216" w14:textId="77777777" w:rsidR="005A0FE4" w:rsidRDefault="00000000">
            <w:r>
              <w:rPr>
                <w:rFonts w:ascii="Calibri" w:hAnsi="Calibri"/>
                <w:sz w:val="20"/>
              </w:rPr>
              <w:t>• ACR &gt;70 mg/mmol (unless diabetic and already treated)</w:t>
            </w:r>
          </w:p>
          <w:p w14:paraId="7664DDC4" w14:textId="77777777" w:rsidR="005A0FE4" w:rsidRDefault="00000000">
            <w:r>
              <w:rPr>
                <w:rFonts w:ascii="Calibri" w:hAnsi="Calibri"/>
                <w:sz w:val="20"/>
              </w:rPr>
              <w:t>• ACR &gt;30 mg/mmol + haematuria (possible glomerulonephritis)</w:t>
            </w:r>
          </w:p>
          <w:p w14:paraId="169C9800" w14:textId="77777777" w:rsidR="005A0FE4" w:rsidRDefault="00000000">
            <w:r>
              <w:rPr>
                <w:rFonts w:ascii="Calibri" w:hAnsi="Calibri"/>
                <w:sz w:val="20"/>
              </w:rPr>
              <w:t>• Progressive CKD — decline &gt;5 ml/min/yr or &gt;10 ml/min/5yr</w:t>
            </w:r>
          </w:p>
          <w:p w14:paraId="107FEBC7" w14:textId="77777777" w:rsidR="005A0FE4" w:rsidRDefault="00000000">
            <w:r>
              <w:rPr>
                <w:rFonts w:ascii="Calibri" w:hAnsi="Calibri"/>
                <w:sz w:val="20"/>
              </w:rPr>
              <w:t>• Hypertension refractory to ≥4 antihypertensive agents</w:t>
            </w:r>
          </w:p>
          <w:p w14:paraId="1684F87A" w14:textId="77777777" w:rsidR="005A0FE4" w:rsidRDefault="00000000">
            <w:r>
              <w:rPr>
                <w:rFonts w:ascii="Calibri" w:hAnsi="Calibri"/>
                <w:sz w:val="20"/>
              </w:rPr>
              <w:t>• Suspected renal artery stenosis or genetic cause of CKD</w:t>
            </w:r>
          </w:p>
          <w:p w14:paraId="063D293B" w14:textId="77777777" w:rsidR="005A0FE4" w:rsidRDefault="00000000">
            <w:pPr>
              <w:spacing w:after="120"/>
            </w:pPr>
            <w:r>
              <w:rPr>
                <w:rFonts w:ascii="Calibri" w:hAnsi="Calibri"/>
                <w:sz w:val="20"/>
              </w:rPr>
              <w:t>• Metabolic complications difficult to manage in primary care</w:t>
            </w:r>
          </w:p>
        </w:tc>
      </w:tr>
    </w:tbl>
    <w:p w14:paraId="474500C6" w14:textId="77777777" w:rsidR="005A0FE4" w:rsidRDefault="005A0FE4">
      <w:pPr>
        <w:spacing w:after="80"/>
      </w:pPr>
    </w:p>
    <w:p w14:paraId="3D3B98A7" w14:textId="77777777" w:rsidR="005A0FE4" w:rsidRDefault="005A0FE4"/>
    <w:p w14:paraId="325C07A6" w14:textId="77777777" w:rsidR="005A0FE4" w:rsidRDefault="00000000">
      <w:pPr>
        <w:spacing w:before="240" w:after="80"/>
      </w:pPr>
      <w:r>
        <w:rPr>
          <w:rFonts w:ascii="Calibri" w:hAnsi="Calibri"/>
          <w:b/>
          <w:color w:val="1B4F8A"/>
          <w:sz w:val="28"/>
        </w:rPr>
        <w:t>7. Patient Education — Reinforce at Every Visit</w:t>
      </w:r>
    </w:p>
    <w:p w14:paraId="0F9E4200" w14:textId="77777777" w:rsidR="005A0FE4" w:rsidRDefault="00000000">
      <w:pPr>
        <w:pStyle w:val="ListBullet"/>
      </w:pPr>
      <w:r>
        <w:rPr>
          <w:rFonts w:ascii="Calibri" w:hAnsi="Calibri"/>
        </w:rPr>
        <w:t>Sick day rules — when to withhold SADMAN + SGLT2 medications</w:t>
      </w:r>
    </w:p>
    <w:p w14:paraId="4556B38C" w14:textId="77777777" w:rsidR="005A0FE4" w:rsidRDefault="00000000">
      <w:pPr>
        <w:pStyle w:val="ListBullet"/>
      </w:pPr>
      <w:r>
        <w:rPr>
          <w:rFonts w:ascii="Calibri" w:hAnsi="Calibri"/>
        </w:rPr>
        <w:t>Avoid NSAIDs and OTC anti-inflammatories</w:t>
      </w:r>
    </w:p>
    <w:p w14:paraId="2A32C885" w14:textId="77777777" w:rsidR="005A0FE4" w:rsidRDefault="00000000">
      <w:pPr>
        <w:pStyle w:val="ListBullet"/>
      </w:pPr>
      <w:r>
        <w:rPr>
          <w:rFonts w:ascii="Calibri" w:hAnsi="Calibri"/>
        </w:rPr>
        <w:t>BP monitoring at home (if available)</w:t>
      </w:r>
    </w:p>
    <w:p w14:paraId="794354CE" w14:textId="77777777" w:rsidR="005A0FE4" w:rsidRDefault="00000000">
      <w:pPr>
        <w:pStyle w:val="ListBullet"/>
      </w:pPr>
      <w:r>
        <w:rPr>
          <w:rFonts w:ascii="Calibri" w:hAnsi="Calibri"/>
        </w:rPr>
        <w:t>Smoking cessation (if applicable)</w:t>
      </w:r>
    </w:p>
    <w:p w14:paraId="27194F69" w14:textId="77777777" w:rsidR="005A0FE4" w:rsidRDefault="00000000">
      <w:pPr>
        <w:pStyle w:val="ListBullet"/>
      </w:pPr>
      <w:r>
        <w:rPr>
          <w:rFonts w:ascii="Calibri" w:hAnsi="Calibri"/>
        </w:rPr>
        <w:t>Weight management and physical activity</w:t>
      </w:r>
    </w:p>
    <w:p w14:paraId="11082A44" w14:textId="77777777" w:rsidR="005A0FE4" w:rsidRDefault="00000000">
      <w:pPr>
        <w:pStyle w:val="ListBullet"/>
      </w:pPr>
      <w:r>
        <w:rPr>
          <w:rFonts w:ascii="Calibri" w:hAnsi="Calibri"/>
        </w:rPr>
        <w:t>Low-salt diet</w:t>
      </w:r>
    </w:p>
    <w:p w14:paraId="014A323F" w14:textId="77777777" w:rsidR="005A0FE4" w:rsidRDefault="00000000">
      <w:pPr>
        <w:pStyle w:val="ListBullet"/>
      </w:pPr>
      <w:r>
        <w:rPr>
          <w:rFonts w:ascii="Calibri" w:hAnsi="Calibri"/>
        </w:rPr>
        <w:t>Potassium restriction if hyperkalaemia detected</w:t>
      </w:r>
    </w:p>
    <w:p w14:paraId="16764F90" w14:textId="3AB417BB" w:rsidR="005A0FE4" w:rsidRPr="00317C34" w:rsidRDefault="00000000">
      <w:pPr>
        <w:pStyle w:val="ListBullet"/>
        <w:rPr>
          <w:lang w:val="fr-FR"/>
        </w:rPr>
      </w:pPr>
      <w:r w:rsidRPr="00317C34">
        <w:rPr>
          <w:rFonts w:ascii="Calibri" w:hAnsi="Calibri"/>
          <w:lang w:val="fr-FR"/>
        </w:rPr>
        <w:t xml:space="preserve">Patient information: </w:t>
      </w:r>
      <w:hyperlink r:id="rId9" w:history="1">
        <w:r w:rsidR="00317C34" w:rsidRPr="0004774F">
          <w:rPr>
            <w:rStyle w:val="Hyperlink"/>
            <w:rFonts w:ascii="Calibri" w:hAnsi="Calibri"/>
            <w:lang w:val="fr-FR"/>
          </w:rPr>
          <w:t>www.kidney.org.uk</w:t>
        </w:r>
      </w:hyperlink>
    </w:p>
    <w:p w14:paraId="4A4AB24E" w14:textId="77777777" w:rsidR="00317C34" w:rsidRDefault="00317C34" w:rsidP="00317C34">
      <w:pPr>
        <w:pStyle w:val="ListBullet"/>
        <w:numPr>
          <w:ilvl w:val="0"/>
          <w:numId w:val="0"/>
        </w:numPr>
        <w:ind w:left="360" w:hanging="360"/>
        <w:rPr>
          <w:rFonts w:ascii="Calibri" w:hAnsi="Calibri"/>
          <w:lang w:val="fr-FR"/>
        </w:rPr>
      </w:pPr>
    </w:p>
    <w:p w14:paraId="3E3C9E16" w14:textId="77777777" w:rsidR="00317C34" w:rsidRDefault="00317C34" w:rsidP="00317C34">
      <w:pPr>
        <w:pStyle w:val="ListBullet"/>
        <w:numPr>
          <w:ilvl w:val="0"/>
          <w:numId w:val="0"/>
        </w:numPr>
        <w:ind w:left="360" w:hanging="360"/>
        <w:rPr>
          <w:rFonts w:ascii="Calibri" w:hAnsi="Calibri"/>
          <w:lang w:val="fr-FR"/>
        </w:rPr>
      </w:pPr>
    </w:p>
    <w:p w14:paraId="55E2FAC2" w14:textId="77777777" w:rsidR="00317C34" w:rsidRDefault="00317C34" w:rsidP="00317C34">
      <w:pPr>
        <w:pStyle w:val="ListBullet"/>
        <w:numPr>
          <w:ilvl w:val="0"/>
          <w:numId w:val="0"/>
        </w:numPr>
        <w:ind w:left="360" w:hanging="360"/>
        <w:rPr>
          <w:rFonts w:ascii="Calibri" w:hAnsi="Calibri"/>
          <w:lang w:val="fr-FR"/>
        </w:rPr>
      </w:pPr>
    </w:p>
    <w:p w14:paraId="39A580CA" w14:textId="77777777" w:rsidR="00317C34" w:rsidRDefault="00317C34" w:rsidP="00317C34">
      <w:pPr>
        <w:pStyle w:val="ListBullet"/>
        <w:numPr>
          <w:ilvl w:val="0"/>
          <w:numId w:val="0"/>
        </w:numPr>
        <w:ind w:left="360" w:hanging="360"/>
        <w:rPr>
          <w:rFonts w:ascii="Calibri" w:hAnsi="Calibri"/>
          <w:lang w:val="fr-FR"/>
        </w:rPr>
      </w:pPr>
    </w:p>
    <w:p w14:paraId="512D3200" w14:textId="77777777" w:rsidR="00317C34" w:rsidRDefault="00317C34" w:rsidP="00317C34">
      <w:pPr>
        <w:pStyle w:val="ListBullet"/>
        <w:numPr>
          <w:ilvl w:val="0"/>
          <w:numId w:val="0"/>
        </w:numPr>
        <w:ind w:left="360" w:hanging="360"/>
        <w:rPr>
          <w:rFonts w:ascii="Calibri" w:hAnsi="Calibri"/>
          <w:lang w:val="fr-FR"/>
        </w:rPr>
      </w:pPr>
    </w:p>
    <w:p w14:paraId="4214C284" w14:textId="77777777" w:rsidR="00317C34" w:rsidRPr="00317C34" w:rsidRDefault="00317C34" w:rsidP="00317C34">
      <w:pPr>
        <w:pStyle w:val="ListBullet"/>
        <w:numPr>
          <w:ilvl w:val="0"/>
          <w:numId w:val="0"/>
        </w:numPr>
        <w:ind w:left="360" w:hanging="360"/>
        <w:rPr>
          <w:lang w:val="fr-FR"/>
        </w:rPr>
      </w:pPr>
    </w:p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5A0FE4" w14:paraId="58D83AD7" w14:textId="77777777">
        <w:trPr>
          <w:jc w:val="center"/>
        </w:trPr>
        <w:tc>
          <w:tcPr>
            <w:tcW w:w="9406" w:type="dxa"/>
            <w:shd w:val="clear" w:color="auto" w:fill="E3F2FD"/>
          </w:tcPr>
          <w:p w14:paraId="53D71563" w14:textId="77777777" w:rsidR="005A0FE4" w:rsidRDefault="00000000">
            <w:pPr>
              <w:spacing w:before="120"/>
            </w:pPr>
            <w:r>
              <w:rPr>
                <w:rFonts w:ascii="Calibri" w:hAnsi="Calibri"/>
                <w:b/>
                <w:color w:val="1B4F8A"/>
              </w:rPr>
              <w:lastRenderedPageBreak/>
              <w:t>📋 CKD G-A Staging Reference (NICE NG203)</w:t>
            </w:r>
          </w:p>
          <w:p w14:paraId="7D5C66A4" w14:textId="77777777" w:rsidR="005A0FE4" w:rsidRDefault="00000000">
            <w:r>
              <w:rPr>
                <w:rFonts w:ascii="Calibri" w:hAnsi="Calibri"/>
                <w:sz w:val="20"/>
              </w:rPr>
              <w:t>G1: eGFR ≥90 + kidney damage marker  |  G2: eGFR 60–89 + damage marker</w:t>
            </w:r>
          </w:p>
          <w:p w14:paraId="5CDAAAD8" w14:textId="77777777" w:rsidR="005A0FE4" w:rsidRDefault="00000000">
            <w:r>
              <w:rPr>
                <w:rFonts w:ascii="Calibri" w:hAnsi="Calibri"/>
                <w:sz w:val="20"/>
              </w:rPr>
              <w:t>G3a: eGFR 45–59  |  G3b: eGFR 30–44  |  G4: eGFR 15–29  |  G5: eGFR &lt;15</w:t>
            </w:r>
          </w:p>
          <w:p w14:paraId="4BD917AE" w14:textId="77777777" w:rsidR="005A0FE4" w:rsidRDefault="005A0FE4"/>
          <w:p w14:paraId="626E47AC" w14:textId="77777777" w:rsidR="005A0FE4" w:rsidRDefault="00000000">
            <w:r>
              <w:rPr>
                <w:rFonts w:ascii="Calibri" w:hAnsi="Calibri"/>
                <w:sz w:val="20"/>
              </w:rPr>
              <w:t>A1: ACR &lt;3 mg/mmol  |  A2: ACR 3–30 mg/mmol  |  A3: ACR &gt;30 mg/mmol</w:t>
            </w:r>
          </w:p>
          <w:p w14:paraId="3BC08D0B" w14:textId="77777777" w:rsidR="005A0FE4" w:rsidRDefault="005A0FE4"/>
          <w:p w14:paraId="64EFA6A0" w14:textId="77777777" w:rsidR="005A0FE4" w:rsidRDefault="00000000">
            <w:pPr>
              <w:spacing w:after="120"/>
            </w:pPr>
            <w:r>
              <w:rPr>
                <w:rFonts w:ascii="Calibri" w:hAnsi="Calibri"/>
                <w:sz w:val="20"/>
              </w:rPr>
              <w:t>Progression: sustained decline &gt;5 ml/min/yr or &gt;10 ml/min/5yr</w:t>
            </w:r>
          </w:p>
        </w:tc>
      </w:tr>
    </w:tbl>
    <w:p w14:paraId="7A562776" w14:textId="77777777" w:rsidR="005A0FE4" w:rsidRDefault="005A0FE4">
      <w:pPr>
        <w:spacing w:after="80"/>
      </w:pPr>
    </w:p>
    <w:p w14:paraId="467BE0D1" w14:textId="77777777" w:rsidR="005A0FE4" w:rsidRDefault="005A0FE4"/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9360"/>
      </w:tblGrid>
      <w:tr w:rsidR="005A0FE4" w14:paraId="3F9B49A8" w14:textId="77777777">
        <w:trPr>
          <w:jc w:val="center"/>
        </w:trPr>
        <w:tc>
          <w:tcPr>
            <w:tcW w:w="9406" w:type="dxa"/>
            <w:shd w:val="clear" w:color="auto" w:fill="FFF3CD"/>
          </w:tcPr>
          <w:p w14:paraId="196C98BB" w14:textId="77777777" w:rsidR="005A0FE4" w:rsidRDefault="00000000">
            <w:pPr>
              <w:spacing w:before="120"/>
            </w:pPr>
            <w:r>
              <w:rPr>
                <w:rFonts w:ascii="Calibri" w:hAnsi="Calibri"/>
                <w:b/>
                <w:color w:val="856404"/>
              </w:rPr>
              <w:t>⚠ Disclaimer</w:t>
            </w:r>
          </w:p>
          <w:p w14:paraId="762BF980" w14:textId="77777777" w:rsidR="005A0FE4" w:rsidRDefault="00000000">
            <w:r>
              <w:rPr>
                <w:rFonts w:ascii="Calibri" w:hAnsi="Calibri"/>
                <w:sz w:val="20"/>
              </w:rPr>
              <w:t>Always double check this advice and drug doses with the latest NICE/BNF guidance.</w:t>
            </w:r>
          </w:p>
          <w:p w14:paraId="100F8CDA" w14:textId="77777777" w:rsidR="005A0FE4" w:rsidRDefault="00000000">
            <w:pPr>
              <w:spacing w:after="120"/>
            </w:pPr>
            <w:r>
              <w:rPr>
                <w:rFonts w:ascii="Calibri" w:hAnsi="Calibri"/>
                <w:sz w:val="20"/>
              </w:rPr>
              <w:t>This document is for educational purposes only.</w:t>
            </w:r>
          </w:p>
        </w:tc>
      </w:tr>
    </w:tbl>
    <w:p w14:paraId="4365904B" w14:textId="77777777" w:rsidR="005A0FE4" w:rsidRDefault="005A0FE4">
      <w:pPr>
        <w:spacing w:after="80"/>
      </w:pPr>
    </w:p>
    <w:sectPr w:rsidR="005A0FE4" w:rsidSect="00034616">
      <w:footerReference w:type="default" r:id="rId10"/>
      <w:pgSz w:w="12240" w:h="15840"/>
      <w:pgMar w:top="1134" w:right="1417" w:bottom="1134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C05F35" w14:textId="77777777" w:rsidR="00843461" w:rsidRDefault="00843461">
      <w:pPr>
        <w:spacing w:after="0" w:line="240" w:lineRule="auto"/>
      </w:pPr>
      <w:r>
        <w:separator/>
      </w:r>
    </w:p>
  </w:endnote>
  <w:endnote w:type="continuationSeparator" w:id="0">
    <w:p w14:paraId="7B193578" w14:textId="77777777" w:rsidR="00843461" w:rsidRDefault="008434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5FE29" w14:textId="77777777" w:rsidR="005A0FE4" w:rsidRDefault="00000000">
    <w:pPr>
      <w:pStyle w:val="Footer"/>
      <w:jc w:val="center"/>
    </w:pPr>
    <w:r>
      <w:rPr>
        <w:rFonts w:ascii="Calibri" w:hAnsi="Calibri"/>
        <w:color w:val="646464"/>
        <w:sz w:val="16"/>
      </w:rPr>
      <w:t>A free resource provided by www.bradfordvts.co.uk, Dr Ramesh Mehay, original date unknown, revised May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796F5F" w14:textId="77777777" w:rsidR="00843461" w:rsidRDefault="00843461">
      <w:pPr>
        <w:spacing w:after="0" w:line="240" w:lineRule="auto"/>
      </w:pPr>
      <w:r>
        <w:separator/>
      </w:r>
    </w:p>
  </w:footnote>
  <w:footnote w:type="continuationSeparator" w:id="0">
    <w:p w14:paraId="22E25A7B" w14:textId="77777777" w:rsidR="00843461" w:rsidRDefault="008434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44577597">
    <w:abstractNumId w:val="8"/>
  </w:num>
  <w:num w:numId="2" w16cid:durableId="590049687">
    <w:abstractNumId w:val="6"/>
  </w:num>
  <w:num w:numId="3" w16cid:durableId="1228540815">
    <w:abstractNumId w:val="5"/>
  </w:num>
  <w:num w:numId="4" w16cid:durableId="614749378">
    <w:abstractNumId w:val="4"/>
  </w:num>
  <w:num w:numId="5" w16cid:durableId="44332882">
    <w:abstractNumId w:val="7"/>
  </w:num>
  <w:num w:numId="6" w16cid:durableId="2122995257">
    <w:abstractNumId w:val="3"/>
  </w:num>
  <w:num w:numId="7" w16cid:durableId="530723159">
    <w:abstractNumId w:val="2"/>
  </w:num>
  <w:num w:numId="8" w16cid:durableId="437332658">
    <w:abstractNumId w:val="1"/>
  </w:num>
  <w:num w:numId="9" w16cid:durableId="1092624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D6118"/>
    <w:rsid w:val="0015074B"/>
    <w:rsid w:val="0029639D"/>
    <w:rsid w:val="00317C34"/>
    <w:rsid w:val="00326F90"/>
    <w:rsid w:val="005A0FE4"/>
    <w:rsid w:val="00843461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766F33"/>
  <w14:defaultImageDpi w14:val="300"/>
  <w15:docId w15:val="{9C440F1B-2FD4-4910-9F5C-4A2C5A2F9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317C3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7C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kidney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607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Ramesh Mehay</cp:lastModifiedBy>
  <cp:revision>3</cp:revision>
  <dcterms:created xsi:type="dcterms:W3CDTF">2013-12-23T23:15:00Z</dcterms:created>
  <dcterms:modified xsi:type="dcterms:W3CDTF">2026-06-16T14:42:00Z</dcterms:modified>
  <cp:category/>
</cp:coreProperties>
</file>