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EB48BD" w14:paraId="3BF947C4" w14:textId="77777777">
        <w:trPr>
          <w:jc w:val="center"/>
        </w:trPr>
        <w:tc>
          <w:tcPr>
            <w:tcW w:w="9406" w:type="dxa"/>
            <w:shd w:val="clear" w:color="auto" w:fill="E0651F"/>
          </w:tcPr>
          <w:p w14:paraId="3E2EA6C0" w14:textId="77777777" w:rsidR="00EB48BD" w:rsidRDefault="00000000">
            <w:pPr>
              <w:spacing w:before="200"/>
              <w:jc w:val="center"/>
            </w:pPr>
            <w:r>
              <w:rPr>
                <w:rFonts w:ascii="Calibri" w:hAnsi="Calibri"/>
                <w:b/>
                <w:caps/>
                <w:color w:val="FFFFFF"/>
              </w:rPr>
              <w:t>BRADFORD VTS TEACHING AIDS</w:t>
            </w:r>
          </w:p>
          <w:p w14:paraId="1EBFF6F5" w14:textId="45C85F29" w:rsidR="00EB48BD" w:rsidRPr="00A4766E" w:rsidRDefault="00000000" w:rsidP="00A4766E">
            <w:pPr>
              <w:jc w:val="center"/>
              <w:rPr>
                <w:rFonts w:ascii="Calibri" w:hAnsi="Calibri"/>
                <w:b/>
                <w:color w:val="FFFFFF"/>
                <w:sz w:val="48"/>
                <w:szCs w:val="16"/>
              </w:rPr>
            </w:pPr>
            <w:r w:rsidRPr="00A4766E">
              <w:rPr>
                <w:rFonts w:ascii="Calibri" w:hAnsi="Calibri"/>
                <w:b/>
                <w:color w:val="FFFFFF"/>
                <w:sz w:val="48"/>
                <w:szCs w:val="16"/>
              </w:rPr>
              <w:t xml:space="preserve">CKD </w:t>
            </w:r>
            <w:r w:rsidR="00A4766E" w:rsidRPr="00A4766E">
              <w:rPr>
                <w:rFonts w:ascii="Calibri" w:hAnsi="Calibri"/>
                <w:b/>
                <w:color w:val="FFFFFF"/>
                <w:sz w:val="48"/>
                <w:szCs w:val="16"/>
              </w:rPr>
              <w:t>Criteria &amp; Targets –</w:t>
            </w:r>
            <w:r w:rsidR="00A4766E" w:rsidRPr="00A4766E">
              <w:rPr>
                <w:rFonts w:ascii="Calibri" w:hAnsi="Calibri"/>
                <w:b/>
                <w:color w:val="FFFFFF"/>
                <w:sz w:val="48"/>
                <w:szCs w:val="16"/>
              </w:rPr>
              <w:br/>
            </w:r>
            <w:r w:rsidRPr="00A4766E">
              <w:rPr>
                <w:rFonts w:ascii="Calibri" w:hAnsi="Calibri"/>
                <w:b/>
                <w:color w:val="FFFFFF"/>
                <w:sz w:val="48"/>
                <w:szCs w:val="16"/>
              </w:rPr>
              <w:t>Quick Reference Card</w:t>
            </w:r>
          </w:p>
          <w:p w14:paraId="4571DB5D" w14:textId="77777777" w:rsidR="00EB48BD" w:rsidRDefault="00000000">
            <w:pPr>
              <w:jc w:val="center"/>
            </w:pPr>
            <w:r>
              <w:rPr>
                <w:rFonts w:ascii="Calibri" w:hAnsi="Calibri"/>
                <w:i/>
                <w:color w:val="FFF0DC"/>
                <w:sz w:val="24"/>
              </w:rPr>
              <w:t>Primary Care Reference · Bradford VTS · May 2026</w:t>
            </w:r>
          </w:p>
        </w:tc>
      </w:tr>
    </w:tbl>
    <w:p w14:paraId="654300E5" w14:textId="77777777" w:rsidR="00EB48BD" w:rsidRDefault="00EB48BD"/>
    <w:p w14:paraId="56863119" w14:textId="77777777" w:rsidR="00EB48BD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t>🔬 CKD Staging (NICE NG203 — G+A Classification)</w:t>
      </w:r>
    </w:p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EB48BD" w14:paraId="7D178CEE" w14:textId="77777777">
        <w:trPr>
          <w:jc w:val="center"/>
        </w:trPr>
        <w:tc>
          <w:tcPr>
            <w:tcW w:w="9406" w:type="dxa"/>
            <w:shd w:val="clear" w:color="auto" w:fill="E3F2FD"/>
          </w:tcPr>
          <w:p w14:paraId="7516791A" w14:textId="77777777" w:rsidR="00EB48BD" w:rsidRDefault="00000000">
            <w:pPr>
              <w:spacing w:before="120"/>
            </w:pPr>
            <w:r>
              <w:rPr>
                <w:rFonts w:ascii="Calibri" w:hAnsi="Calibri"/>
                <w:b/>
                <w:color w:val="1B4F8A"/>
              </w:rPr>
              <w:t>eGFR (G) Category</w:t>
            </w:r>
          </w:p>
          <w:p w14:paraId="7A30BF4C" w14:textId="77777777" w:rsidR="00EB48BD" w:rsidRDefault="00000000">
            <w:r>
              <w:rPr>
                <w:rFonts w:ascii="Calibri" w:hAnsi="Calibri"/>
                <w:sz w:val="20"/>
              </w:rPr>
              <w:t>G1: ≥90 ml/min  |  G2: 60–89  |  G3a: 45–59  |  G3b: 30–44  |  G4: 15–29  |  G5: &lt;15</w:t>
            </w:r>
          </w:p>
          <w:p w14:paraId="3B27B355" w14:textId="77777777" w:rsidR="00EB48BD" w:rsidRDefault="00000000">
            <w:pPr>
              <w:spacing w:after="120"/>
            </w:pPr>
            <w:r>
              <w:rPr>
                <w:rFonts w:ascii="Calibri" w:hAnsi="Calibri"/>
                <w:sz w:val="20"/>
              </w:rPr>
              <w:t>NOTE: G1/G2 alone is NOT CKD — requires marker of kidney damage (ACR ≥3, haematuria, structural abnormality)</w:t>
            </w:r>
          </w:p>
        </w:tc>
      </w:tr>
    </w:tbl>
    <w:p w14:paraId="0B868A7D" w14:textId="77777777" w:rsidR="00EB48BD" w:rsidRDefault="00EB48BD">
      <w:pPr>
        <w:spacing w:after="80"/>
      </w:pPr>
    </w:p>
    <w:p w14:paraId="437B92FC" w14:textId="77777777" w:rsidR="00EB48BD" w:rsidRDefault="00EB48BD"/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EB48BD" w14:paraId="7EFB5B39" w14:textId="77777777">
        <w:trPr>
          <w:jc w:val="center"/>
        </w:trPr>
        <w:tc>
          <w:tcPr>
            <w:tcW w:w="9406" w:type="dxa"/>
            <w:shd w:val="clear" w:color="auto" w:fill="E8F5E9"/>
          </w:tcPr>
          <w:p w14:paraId="76C2A283" w14:textId="77777777" w:rsidR="00EB48BD" w:rsidRDefault="00000000">
            <w:pPr>
              <w:spacing w:before="120"/>
            </w:pPr>
            <w:r>
              <w:rPr>
                <w:rFonts w:ascii="Calibri" w:hAnsi="Calibri"/>
                <w:b/>
                <w:color w:val="1B4F8A"/>
              </w:rPr>
              <w:t>ACR (A) Category</w:t>
            </w:r>
          </w:p>
          <w:p w14:paraId="23E17B0B" w14:textId="77777777" w:rsidR="00EB48BD" w:rsidRDefault="00000000">
            <w:r>
              <w:rPr>
                <w:rFonts w:ascii="Calibri" w:hAnsi="Calibri"/>
                <w:sz w:val="20"/>
              </w:rPr>
              <w:t>A1: &lt;3 mg/mmol (normal)  |  A2: 3–30 mg/mmol (moderately increased)  |  A3: &gt;30 mg/mmol (severely increased)</w:t>
            </w:r>
          </w:p>
          <w:p w14:paraId="1C3A2DCA" w14:textId="77777777" w:rsidR="00EB48BD" w:rsidRDefault="00000000">
            <w:pPr>
              <w:spacing w:after="120"/>
            </w:pPr>
            <w:r>
              <w:rPr>
                <w:rFonts w:ascii="Calibri" w:hAnsi="Calibri"/>
                <w:sz w:val="20"/>
              </w:rPr>
              <w:t>Diagnose CKD: TWO abnormal results ≥90 days apart</w:t>
            </w:r>
          </w:p>
        </w:tc>
      </w:tr>
    </w:tbl>
    <w:p w14:paraId="0BE7866E" w14:textId="77777777" w:rsidR="00EB48BD" w:rsidRDefault="00EB48BD">
      <w:pPr>
        <w:spacing w:after="80"/>
      </w:pPr>
    </w:p>
    <w:p w14:paraId="4C1CF304" w14:textId="77777777" w:rsidR="00EB48BD" w:rsidRDefault="00EB48BD"/>
    <w:p w14:paraId="0DA3BE1E" w14:textId="77777777" w:rsidR="00EB48BD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t>🔍 Who to Screen for CKD</w:t>
      </w:r>
    </w:p>
    <w:p w14:paraId="5DC13A52" w14:textId="77777777" w:rsidR="00EB48BD" w:rsidRPr="00A4766E" w:rsidRDefault="00000000">
      <w:pPr>
        <w:spacing w:after="40"/>
        <w:rPr>
          <w:lang w:val="fr-FR"/>
        </w:rPr>
      </w:pPr>
      <w:r>
        <w:rPr>
          <w:rFonts w:ascii="Calibri" w:hAnsi="Calibri"/>
          <w:sz w:val="20"/>
        </w:rPr>
        <w:t xml:space="preserve">  </w:t>
      </w:r>
      <w:r w:rsidRPr="00A4766E">
        <w:rPr>
          <w:rFonts w:ascii="Calibri" w:hAnsi="Calibri"/>
          <w:sz w:val="20"/>
          <w:lang w:val="fr-FR"/>
        </w:rPr>
        <w:t xml:space="preserve">1. </w:t>
      </w:r>
      <w:proofErr w:type="spellStart"/>
      <w:r w:rsidRPr="00A4766E">
        <w:rPr>
          <w:rFonts w:ascii="Calibri" w:hAnsi="Calibri"/>
          <w:sz w:val="20"/>
          <w:lang w:val="fr-FR"/>
        </w:rPr>
        <w:t>Diabetes</w:t>
      </w:r>
      <w:proofErr w:type="spellEnd"/>
      <w:r w:rsidRPr="00A4766E">
        <w:rPr>
          <w:rFonts w:ascii="Calibri" w:hAnsi="Calibri"/>
          <w:sz w:val="20"/>
          <w:lang w:val="fr-FR"/>
        </w:rPr>
        <w:t xml:space="preserve"> (T1/T2)</w:t>
      </w:r>
    </w:p>
    <w:p w14:paraId="58E7492F" w14:textId="77777777" w:rsidR="00EB48BD" w:rsidRPr="00A4766E" w:rsidRDefault="00000000">
      <w:pPr>
        <w:spacing w:after="40"/>
        <w:rPr>
          <w:lang w:val="fr-FR"/>
        </w:rPr>
      </w:pPr>
      <w:r w:rsidRPr="00A4766E">
        <w:rPr>
          <w:rFonts w:ascii="Calibri" w:hAnsi="Calibri"/>
          <w:sz w:val="20"/>
          <w:lang w:val="fr-FR"/>
        </w:rPr>
        <w:t xml:space="preserve">  2. Hypertension</w:t>
      </w:r>
    </w:p>
    <w:p w14:paraId="3BEF7168" w14:textId="77777777" w:rsidR="00EB48BD" w:rsidRPr="00A4766E" w:rsidRDefault="00000000">
      <w:pPr>
        <w:spacing w:after="40"/>
        <w:rPr>
          <w:lang w:val="fr-FR"/>
        </w:rPr>
      </w:pPr>
      <w:r w:rsidRPr="00A4766E">
        <w:rPr>
          <w:rFonts w:ascii="Calibri" w:hAnsi="Calibri"/>
          <w:sz w:val="20"/>
          <w:lang w:val="fr-FR"/>
        </w:rPr>
        <w:t xml:space="preserve">  3. CVD (IHD, HF, PVD, CVD, TIA)</w:t>
      </w:r>
    </w:p>
    <w:p w14:paraId="6BDE7ABF" w14:textId="77777777" w:rsidR="00EB48BD" w:rsidRPr="00A4766E" w:rsidRDefault="00000000">
      <w:pPr>
        <w:spacing w:after="40"/>
        <w:rPr>
          <w:lang w:val="fr-FR"/>
        </w:rPr>
      </w:pPr>
      <w:r w:rsidRPr="00A4766E">
        <w:rPr>
          <w:rFonts w:ascii="Calibri" w:hAnsi="Calibri"/>
          <w:sz w:val="20"/>
          <w:lang w:val="fr-FR"/>
        </w:rPr>
        <w:t xml:space="preserve">  4. Structural </w:t>
      </w:r>
      <w:proofErr w:type="spellStart"/>
      <w:r w:rsidRPr="00A4766E">
        <w:rPr>
          <w:rFonts w:ascii="Calibri" w:hAnsi="Calibri"/>
          <w:sz w:val="20"/>
          <w:lang w:val="fr-FR"/>
        </w:rPr>
        <w:t>renal</w:t>
      </w:r>
      <w:proofErr w:type="spellEnd"/>
      <w:r w:rsidRPr="00A4766E">
        <w:rPr>
          <w:rFonts w:ascii="Calibri" w:hAnsi="Calibri"/>
          <w:sz w:val="20"/>
          <w:lang w:val="fr-FR"/>
        </w:rPr>
        <w:t xml:space="preserve"> tract </w:t>
      </w:r>
      <w:proofErr w:type="spellStart"/>
      <w:r w:rsidRPr="00A4766E">
        <w:rPr>
          <w:rFonts w:ascii="Calibri" w:hAnsi="Calibri"/>
          <w:sz w:val="20"/>
          <w:lang w:val="fr-FR"/>
        </w:rPr>
        <w:t>disease</w:t>
      </w:r>
      <w:proofErr w:type="spellEnd"/>
      <w:r w:rsidRPr="00A4766E">
        <w:rPr>
          <w:rFonts w:ascii="Calibri" w:hAnsi="Calibri"/>
          <w:sz w:val="20"/>
          <w:lang w:val="fr-FR"/>
        </w:rPr>
        <w:t xml:space="preserve"> (stones, BPH)</w:t>
      </w:r>
    </w:p>
    <w:p w14:paraId="5117D4AA" w14:textId="77777777" w:rsidR="00EB48BD" w:rsidRDefault="00000000">
      <w:pPr>
        <w:spacing w:after="40"/>
      </w:pPr>
      <w:r w:rsidRPr="00A4766E">
        <w:rPr>
          <w:rFonts w:ascii="Calibri" w:hAnsi="Calibri"/>
          <w:sz w:val="20"/>
          <w:lang w:val="fr-FR"/>
        </w:rPr>
        <w:t xml:space="preserve">  </w:t>
      </w:r>
      <w:r>
        <w:rPr>
          <w:rFonts w:ascii="Calibri" w:hAnsi="Calibri"/>
          <w:sz w:val="20"/>
        </w:rPr>
        <w:t>5. Multi-system disease (SLE, vasculitis, myeloma)</w:t>
      </w:r>
    </w:p>
    <w:p w14:paraId="1A467186" w14:textId="77777777" w:rsidR="00EB48BD" w:rsidRDefault="00000000">
      <w:pPr>
        <w:spacing w:after="40"/>
      </w:pPr>
      <w:r>
        <w:rPr>
          <w:rFonts w:ascii="Calibri" w:hAnsi="Calibri"/>
          <w:sz w:val="20"/>
        </w:rPr>
        <w:t xml:space="preserve">  6. Family history CKD G5 or hereditary kidney disease</w:t>
      </w:r>
    </w:p>
    <w:p w14:paraId="1B7DED82" w14:textId="77777777" w:rsidR="00EB48BD" w:rsidRDefault="00000000">
      <w:pPr>
        <w:spacing w:after="40"/>
      </w:pPr>
      <w:r>
        <w:rPr>
          <w:rFonts w:ascii="Calibri" w:hAnsi="Calibri"/>
          <w:sz w:val="20"/>
        </w:rPr>
        <w:t xml:space="preserve">  7. Opportunistic haematuria/proteinuria</w:t>
      </w:r>
    </w:p>
    <w:p w14:paraId="490D672C" w14:textId="77777777" w:rsidR="00EB48BD" w:rsidRDefault="00000000">
      <w:pPr>
        <w:spacing w:after="40"/>
      </w:pPr>
      <w:r>
        <w:rPr>
          <w:rFonts w:ascii="Calibri" w:hAnsi="Calibri"/>
          <w:sz w:val="20"/>
        </w:rPr>
        <w:t xml:space="preserve">  8. Long-term NSAIDs/nephrotoxins</w:t>
      </w:r>
    </w:p>
    <w:p w14:paraId="223BDFBF" w14:textId="77777777" w:rsidR="00EB48BD" w:rsidRDefault="00000000">
      <w:pPr>
        <w:spacing w:after="40"/>
      </w:pPr>
      <w:r>
        <w:rPr>
          <w:rFonts w:ascii="Calibri" w:hAnsi="Calibri"/>
          <w:sz w:val="20"/>
        </w:rPr>
        <w:t xml:space="preserve">  9. AKI — monitor after recovery</w:t>
      </w:r>
    </w:p>
    <w:p w14:paraId="6E037747" w14:textId="77777777" w:rsidR="00EB48BD" w:rsidRDefault="00EB48BD"/>
    <w:p w14:paraId="546FEA77" w14:textId="77777777" w:rsidR="00A4766E" w:rsidRDefault="00A4766E">
      <w:pPr>
        <w:rPr>
          <w:rFonts w:ascii="Calibri" w:hAnsi="Calibri"/>
          <w:b/>
          <w:color w:val="1B4F8A"/>
          <w:sz w:val="28"/>
        </w:rPr>
      </w:pPr>
      <w:r>
        <w:rPr>
          <w:rFonts w:ascii="Calibri" w:hAnsi="Calibri"/>
          <w:b/>
          <w:color w:val="1B4F8A"/>
          <w:sz w:val="28"/>
        </w:rPr>
        <w:br w:type="page"/>
      </w:r>
    </w:p>
    <w:p w14:paraId="1603D748" w14:textId="55BD2637" w:rsidR="00EB48BD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lastRenderedPageBreak/>
        <w:t>💊 Blood Pressure &amp; Medication Targets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03"/>
        <w:gridCol w:w="4703"/>
      </w:tblGrid>
      <w:tr w:rsidR="00EB48BD" w14:paraId="36F089B2" w14:textId="77777777">
        <w:tc>
          <w:tcPr>
            <w:tcW w:w="4703" w:type="dxa"/>
            <w:shd w:val="clear" w:color="auto" w:fill="1B4F8A"/>
          </w:tcPr>
          <w:p w14:paraId="2C669BA1" w14:textId="77777777" w:rsidR="00EB48BD" w:rsidRDefault="00000000">
            <w:r>
              <w:rPr>
                <w:rFonts w:ascii="Calibri" w:hAnsi="Calibri"/>
                <w:b/>
                <w:color w:val="FFFFFF"/>
                <w:sz w:val="20"/>
              </w:rPr>
              <w:t>Situation</w:t>
            </w:r>
          </w:p>
        </w:tc>
        <w:tc>
          <w:tcPr>
            <w:tcW w:w="4703" w:type="dxa"/>
            <w:shd w:val="clear" w:color="auto" w:fill="1B4F8A"/>
          </w:tcPr>
          <w:p w14:paraId="776D4B59" w14:textId="77777777" w:rsidR="00EB48BD" w:rsidRDefault="00000000">
            <w:r>
              <w:rPr>
                <w:rFonts w:ascii="Calibri" w:hAnsi="Calibri"/>
                <w:b/>
                <w:color w:val="FFFFFF"/>
                <w:sz w:val="20"/>
              </w:rPr>
              <w:t>Target / Action</w:t>
            </w:r>
          </w:p>
        </w:tc>
      </w:tr>
      <w:tr w:rsidR="00EB48BD" w14:paraId="6ECB1921" w14:textId="77777777">
        <w:tc>
          <w:tcPr>
            <w:tcW w:w="4703" w:type="dxa"/>
          </w:tcPr>
          <w:p w14:paraId="44DF4EF3" w14:textId="77777777" w:rsidR="00EB48BD" w:rsidRDefault="00000000">
            <w:r>
              <w:rPr>
                <w:rFonts w:ascii="Calibri" w:hAnsi="Calibri"/>
                <w:sz w:val="20"/>
              </w:rPr>
              <w:t>ACR &lt;70 mg/mmol</w:t>
            </w:r>
          </w:p>
        </w:tc>
        <w:tc>
          <w:tcPr>
            <w:tcW w:w="4703" w:type="dxa"/>
          </w:tcPr>
          <w:p w14:paraId="45E49F96" w14:textId="77777777" w:rsidR="00EB48BD" w:rsidRDefault="00000000">
            <w:r>
              <w:rPr>
                <w:rFonts w:ascii="Calibri" w:hAnsi="Calibri"/>
                <w:sz w:val="20"/>
              </w:rPr>
              <w:t>&lt;140/90 mmHg</w:t>
            </w:r>
          </w:p>
        </w:tc>
      </w:tr>
      <w:tr w:rsidR="00EB48BD" w14:paraId="309B5CDF" w14:textId="77777777">
        <w:tc>
          <w:tcPr>
            <w:tcW w:w="4703" w:type="dxa"/>
          </w:tcPr>
          <w:p w14:paraId="008FE673" w14:textId="77777777" w:rsidR="00EB48BD" w:rsidRDefault="00000000">
            <w:r>
              <w:rPr>
                <w:rFonts w:ascii="Calibri" w:hAnsi="Calibri"/>
                <w:sz w:val="20"/>
              </w:rPr>
              <w:t>ACR ≥70 mg/mmol</w:t>
            </w:r>
          </w:p>
        </w:tc>
        <w:tc>
          <w:tcPr>
            <w:tcW w:w="4703" w:type="dxa"/>
          </w:tcPr>
          <w:p w14:paraId="2B888D24" w14:textId="77777777" w:rsidR="00EB48BD" w:rsidRDefault="00000000">
            <w:r>
              <w:rPr>
                <w:rFonts w:ascii="Calibri" w:hAnsi="Calibri"/>
                <w:sz w:val="20"/>
              </w:rPr>
              <w:t>&lt;130/80 mmHg (target range 120–129/70–79)</w:t>
            </w:r>
          </w:p>
        </w:tc>
      </w:tr>
      <w:tr w:rsidR="00EB48BD" w14:paraId="1232902C" w14:textId="77777777">
        <w:tc>
          <w:tcPr>
            <w:tcW w:w="4703" w:type="dxa"/>
          </w:tcPr>
          <w:p w14:paraId="53469E3B" w14:textId="77777777" w:rsidR="00EB48BD" w:rsidRDefault="00000000">
            <w:r>
              <w:rPr>
                <w:rFonts w:ascii="Calibri" w:hAnsi="Calibri"/>
                <w:sz w:val="20"/>
              </w:rPr>
              <w:t>First-line agent</w:t>
            </w:r>
          </w:p>
        </w:tc>
        <w:tc>
          <w:tcPr>
            <w:tcW w:w="4703" w:type="dxa"/>
          </w:tcPr>
          <w:p w14:paraId="57311D01" w14:textId="77777777" w:rsidR="00EB48BD" w:rsidRDefault="00000000">
            <w:r>
              <w:rPr>
                <w:rFonts w:ascii="Calibri" w:hAnsi="Calibri"/>
                <w:sz w:val="20"/>
              </w:rPr>
              <w:t>ACEi or ARB — if DM+ACR≥3, or non-DM+HT+ACR≥30, or ACR≥70</w:t>
            </w:r>
          </w:p>
        </w:tc>
      </w:tr>
      <w:tr w:rsidR="00EB48BD" w14:paraId="64EFAC79" w14:textId="77777777">
        <w:tc>
          <w:tcPr>
            <w:tcW w:w="4703" w:type="dxa"/>
          </w:tcPr>
          <w:p w14:paraId="38D1B589" w14:textId="77777777" w:rsidR="00EB48BD" w:rsidRDefault="00000000">
            <w:r>
              <w:rPr>
                <w:rFonts w:ascii="Calibri" w:hAnsi="Calibri"/>
                <w:sz w:val="20"/>
              </w:rPr>
              <w:t>Statin</w:t>
            </w:r>
          </w:p>
        </w:tc>
        <w:tc>
          <w:tcPr>
            <w:tcW w:w="4703" w:type="dxa"/>
          </w:tcPr>
          <w:p w14:paraId="602E2288" w14:textId="77777777" w:rsidR="00EB48BD" w:rsidRDefault="00000000">
            <w:r>
              <w:rPr>
                <w:rFonts w:ascii="Calibri" w:hAnsi="Calibri"/>
                <w:sz w:val="20"/>
              </w:rPr>
              <w:t>Atorvastatin 20mg — ALL CKD patients (NICE NG203)</w:t>
            </w:r>
          </w:p>
        </w:tc>
      </w:tr>
      <w:tr w:rsidR="00EB48BD" w14:paraId="70CA7CAF" w14:textId="77777777">
        <w:tc>
          <w:tcPr>
            <w:tcW w:w="4703" w:type="dxa"/>
          </w:tcPr>
          <w:p w14:paraId="59B87B77" w14:textId="77777777" w:rsidR="00EB48BD" w:rsidRDefault="00000000">
            <w:r>
              <w:rPr>
                <w:rFonts w:ascii="Calibri" w:hAnsi="Calibri"/>
                <w:sz w:val="20"/>
              </w:rPr>
              <w:t>ACEi/ARB monitoring</w:t>
            </w:r>
          </w:p>
        </w:tc>
        <w:tc>
          <w:tcPr>
            <w:tcW w:w="4703" w:type="dxa"/>
          </w:tcPr>
          <w:p w14:paraId="15657872" w14:textId="77777777" w:rsidR="00EB48BD" w:rsidRDefault="00000000">
            <w:r>
              <w:rPr>
                <w:rFonts w:ascii="Calibri" w:hAnsi="Calibri"/>
                <w:sz w:val="20"/>
              </w:rPr>
              <w:t>U&amp;E at 2 weeks. Acceptable: creatinine ↑≤30%, eGFR ↓≤25%</w:t>
            </w:r>
          </w:p>
        </w:tc>
      </w:tr>
      <w:tr w:rsidR="00EB48BD" w14:paraId="795A5B26" w14:textId="77777777">
        <w:tc>
          <w:tcPr>
            <w:tcW w:w="4703" w:type="dxa"/>
          </w:tcPr>
          <w:p w14:paraId="231E4C86" w14:textId="77777777" w:rsidR="00EB48BD" w:rsidRDefault="00000000">
            <w:r>
              <w:rPr>
                <w:rFonts w:ascii="Calibri" w:hAnsi="Calibri"/>
                <w:sz w:val="20"/>
              </w:rPr>
              <w:t>Stop ACEi/ARB if</w:t>
            </w:r>
          </w:p>
        </w:tc>
        <w:tc>
          <w:tcPr>
            <w:tcW w:w="4703" w:type="dxa"/>
          </w:tcPr>
          <w:p w14:paraId="5C6A6966" w14:textId="77777777" w:rsidR="00EB48BD" w:rsidRDefault="00000000">
            <w:r>
              <w:rPr>
                <w:rFonts w:ascii="Calibri" w:hAnsi="Calibri"/>
                <w:sz w:val="20"/>
              </w:rPr>
              <w:t>K+&gt;6.0 mmol/L or creatinine ↑&gt;30% or eGFR ↓&gt;25%</w:t>
            </w:r>
          </w:p>
        </w:tc>
      </w:tr>
    </w:tbl>
    <w:p w14:paraId="1A67ACA1" w14:textId="77777777" w:rsidR="00EB48BD" w:rsidRDefault="00EB48BD"/>
    <w:p w14:paraId="16565EA7" w14:textId="77777777" w:rsidR="00EB48BD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t>💊 SGLT2 Inhibitors in CKD — NICE TA1075 (July 2025)</w:t>
      </w:r>
    </w:p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EB48BD" w14:paraId="1F4E9564" w14:textId="77777777">
        <w:trPr>
          <w:jc w:val="center"/>
        </w:trPr>
        <w:tc>
          <w:tcPr>
            <w:tcW w:w="9406" w:type="dxa"/>
            <w:shd w:val="clear" w:color="auto" w:fill="F3E5F5"/>
          </w:tcPr>
          <w:p w14:paraId="0A79EF0F" w14:textId="77777777" w:rsidR="00EB48BD" w:rsidRDefault="00000000">
            <w:pPr>
              <w:spacing w:before="120"/>
            </w:pPr>
            <w:r>
              <w:rPr>
                <w:rFonts w:ascii="Calibri" w:hAnsi="Calibri"/>
                <w:b/>
                <w:color w:val="1B4F8A"/>
              </w:rPr>
              <w:t>Dapagliflozin 10mg OD — Eligibility</w:t>
            </w:r>
          </w:p>
          <w:p w14:paraId="02D4C362" w14:textId="77777777" w:rsidR="00EB48BD" w:rsidRDefault="00000000">
            <w:r>
              <w:rPr>
                <w:rFonts w:ascii="Calibri" w:hAnsi="Calibri"/>
                <w:sz w:val="20"/>
              </w:rPr>
              <w:t>• eGFR 20–&lt;45 ml/min/1.73m² (any adult with CKD)</w:t>
            </w:r>
          </w:p>
          <w:p w14:paraId="37582B2B" w14:textId="77777777" w:rsidR="00EB48BD" w:rsidRDefault="00000000">
            <w:r>
              <w:rPr>
                <w:rFonts w:ascii="Calibri" w:hAnsi="Calibri"/>
                <w:sz w:val="20"/>
              </w:rPr>
              <w:t>• eGFR 45–90 ml/min/1.73m² AND uACR ≥22.6 mg/mmol OR Type 2 diabetes</w:t>
            </w:r>
          </w:p>
          <w:p w14:paraId="4C7CDCAD" w14:textId="77777777" w:rsidR="00EB48BD" w:rsidRDefault="00000000">
            <w:r>
              <w:rPr>
                <w:rFonts w:ascii="Calibri" w:hAnsi="Calibri"/>
                <w:sz w:val="20"/>
              </w:rPr>
              <w:t>• Must be on max tolerated ACEi or ARB (unless contraindicated)</w:t>
            </w:r>
          </w:p>
          <w:p w14:paraId="6D2AB156" w14:textId="77777777" w:rsidR="00EB48BD" w:rsidRDefault="00000000">
            <w:r>
              <w:rPr>
                <w:rFonts w:ascii="Calibri" w:hAnsi="Calibri"/>
                <w:sz w:val="20"/>
              </w:rPr>
              <w:t>• Do not initiate below eGFR 15 ml/min</w:t>
            </w:r>
          </w:p>
          <w:p w14:paraId="19E21DF1" w14:textId="77777777" w:rsidR="00EB48BD" w:rsidRDefault="00000000">
            <w:r>
              <w:rPr>
                <w:rFonts w:ascii="Calibri" w:hAnsi="Calibri"/>
                <w:sz w:val="20"/>
              </w:rPr>
              <w:t>• If multiple SGLT2i suitable → use least expensive</w:t>
            </w:r>
          </w:p>
          <w:p w14:paraId="12A35708" w14:textId="77777777" w:rsidR="00EB48BD" w:rsidRDefault="00000000">
            <w:pPr>
              <w:spacing w:after="120"/>
            </w:pPr>
            <w:r>
              <w:rPr>
                <w:rFonts w:ascii="Calibri" w:hAnsi="Calibri"/>
                <w:sz w:val="20"/>
              </w:rPr>
              <w:t>• Empagliflozin (TA942, 2023): similar eligibility criteria</w:t>
            </w:r>
          </w:p>
        </w:tc>
      </w:tr>
    </w:tbl>
    <w:p w14:paraId="24C5DBBF" w14:textId="77777777" w:rsidR="00EB48BD" w:rsidRDefault="00EB48BD">
      <w:pPr>
        <w:spacing w:after="80"/>
      </w:pPr>
    </w:p>
    <w:p w14:paraId="558BEDA0" w14:textId="77777777" w:rsidR="00EB48BD" w:rsidRDefault="00EB48BD"/>
    <w:p w14:paraId="7427F8A6" w14:textId="77777777" w:rsidR="00EB48BD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t>🏥 Nephrology Referral Criteria (NICE NG203)</w:t>
      </w:r>
    </w:p>
    <w:p w14:paraId="3C7AFD3A" w14:textId="77777777" w:rsidR="00EB48BD" w:rsidRDefault="00000000">
      <w:pPr>
        <w:spacing w:after="60"/>
      </w:pPr>
      <w:r>
        <w:rPr>
          <w:rFonts w:ascii="Calibri" w:hAnsi="Calibri"/>
          <w:b/>
        </w:rPr>
        <w:t xml:space="preserve">CKD G4/G5: </w:t>
      </w:r>
      <w:r>
        <w:rPr>
          <w:rFonts w:ascii="Calibri" w:hAnsi="Calibri"/>
        </w:rPr>
        <w:t>eGFR &lt;30 ml/min — routine referral</w:t>
      </w:r>
    </w:p>
    <w:p w14:paraId="55517CE6" w14:textId="77777777" w:rsidR="00EB48BD" w:rsidRDefault="00000000">
      <w:pPr>
        <w:spacing w:after="60"/>
      </w:pPr>
      <w:r>
        <w:rPr>
          <w:rFonts w:ascii="Calibri" w:hAnsi="Calibri"/>
          <w:b/>
        </w:rPr>
        <w:t xml:space="preserve">ACR &gt;70 mg/mmol: </w:t>
      </w:r>
      <w:r>
        <w:rPr>
          <w:rFonts w:ascii="Calibri" w:hAnsi="Calibri"/>
        </w:rPr>
        <w:t>Unless diabetic and already treated appropriately</w:t>
      </w:r>
    </w:p>
    <w:p w14:paraId="323173CC" w14:textId="77777777" w:rsidR="00EB48BD" w:rsidRDefault="00000000">
      <w:pPr>
        <w:spacing w:after="60"/>
      </w:pPr>
      <w:r>
        <w:rPr>
          <w:rFonts w:ascii="Calibri" w:hAnsi="Calibri"/>
          <w:b/>
        </w:rPr>
        <w:t xml:space="preserve">ACR &gt;30 + haematuria: </w:t>
      </w:r>
      <w:r>
        <w:rPr>
          <w:rFonts w:ascii="Calibri" w:hAnsi="Calibri"/>
        </w:rPr>
        <w:t>Possible glomerulonephritis — refer</w:t>
      </w:r>
    </w:p>
    <w:p w14:paraId="2E3436B2" w14:textId="77777777" w:rsidR="00EB48BD" w:rsidRDefault="00000000">
      <w:pPr>
        <w:spacing w:after="60"/>
      </w:pPr>
      <w:r>
        <w:rPr>
          <w:rFonts w:ascii="Calibri" w:hAnsi="Calibri"/>
          <w:b/>
        </w:rPr>
        <w:t xml:space="preserve">Progressive CKD: </w:t>
      </w:r>
      <w:r>
        <w:rPr>
          <w:rFonts w:ascii="Calibri" w:hAnsi="Calibri"/>
        </w:rPr>
        <w:t>Decline &gt;5/yr or &gt;10/5yr</w:t>
      </w:r>
    </w:p>
    <w:p w14:paraId="24231F7C" w14:textId="77777777" w:rsidR="00EB48BD" w:rsidRDefault="00000000">
      <w:pPr>
        <w:spacing w:after="60"/>
      </w:pPr>
      <w:r>
        <w:rPr>
          <w:rFonts w:ascii="Calibri" w:hAnsi="Calibri"/>
          <w:b/>
        </w:rPr>
        <w:t xml:space="preserve">Resistant hypertension: </w:t>
      </w:r>
      <w:r>
        <w:rPr>
          <w:rFonts w:ascii="Calibri" w:hAnsi="Calibri"/>
        </w:rPr>
        <w:t>≥4 antihypertensive agents</w:t>
      </w:r>
    </w:p>
    <w:p w14:paraId="727BA332" w14:textId="77777777" w:rsidR="00EB48BD" w:rsidRDefault="00000000">
      <w:pPr>
        <w:spacing w:after="60"/>
      </w:pPr>
      <w:r>
        <w:rPr>
          <w:rFonts w:ascii="Calibri" w:hAnsi="Calibri"/>
          <w:b/>
        </w:rPr>
        <w:t xml:space="preserve">Genetic/rare CKD: </w:t>
      </w:r>
      <w:r>
        <w:rPr>
          <w:rFonts w:ascii="Calibri" w:hAnsi="Calibri"/>
        </w:rPr>
        <w:t>Suspected APKD, Alport's, RAS</w:t>
      </w:r>
    </w:p>
    <w:p w14:paraId="0C30BC7D" w14:textId="77777777" w:rsidR="00EB48BD" w:rsidRDefault="00000000">
      <w:pPr>
        <w:spacing w:after="60"/>
      </w:pPr>
      <w:r>
        <w:rPr>
          <w:rFonts w:ascii="Calibri" w:hAnsi="Calibri"/>
          <w:b/>
        </w:rPr>
        <w:t xml:space="preserve">URGENT (2 weeks): </w:t>
      </w:r>
      <w:r>
        <w:rPr>
          <w:rFonts w:ascii="Calibri" w:hAnsi="Calibri"/>
        </w:rPr>
        <w:t>Rapidly declining eGFR, nephrotic syndrome, malignant HT</w:t>
      </w:r>
    </w:p>
    <w:p w14:paraId="44BBBCAF" w14:textId="77777777" w:rsidR="00EB48BD" w:rsidRDefault="00EB48BD"/>
    <w:p w14:paraId="0517ADFB" w14:textId="77777777" w:rsidR="00A4766E" w:rsidRDefault="00A4766E">
      <w:pPr>
        <w:rPr>
          <w:rFonts w:ascii="Calibri" w:hAnsi="Calibri"/>
          <w:b/>
          <w:color w:val="1B4F8A"/>
          <w:sz w:val="28"/>
        </w:rPr>
      </w:pPr>
      <w:r>
        <w:rPr>
          <w:rFonts w:ascii="Calibri" w:hAnsi="Calibri"/>
          <w:b/>
          <w:color w:val="1B4F8A"/>
          <w:sz w:val="28"/>
        </w:rPr>
        <w:br w:type="page"/>
      </w:r>
    </w:p>
    <w:p w14:paraId="71426508" w14:textId="6482B2F1" w:rsidR="00EB48BD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lastRenderedPageBreak/>
        <w:t>📷 Renal Ultrasound — Indications</w:t>
      </w:r>
    </w:p>
    <w:p w14:paraId="1B2ACD7C" w14:textId="77777777" w:rsidR="00EB48BD" w:rsidRDefault="00000000">
      <w:pPr>
        <w:spacing w:after="40"/>
      </w:pPr>
      <w:r>
        <w:rPr>
          <w:rFonts w:ascii="Calibri" w:hAnsi="Calibri"/>
          <w:sz w:val="20"/>
        </w:rPr>
        <w:t xml:space="preserve">  • Progressive CKD</w:t>
      </w:r>
    </w:p>
    <w:p w14:paraId="5419BEF9" w14:textId="77777777" w:rsidR="00EB48BD" w:rsidRDefault="00000000">
      <w:pPr>
        <w:spacing w:after="40"/>
      </w:pPr>
      <w:r>
        <w:rPr>
          <w:rFonts w:ascii="Calibri" w:hAnsi="Calibri"/>
          <w:sz w:val="20"/>
        </w:rPr>
        <w:t xml:space="preserve">  • Visible or persistent invisible haematuria</w:t>
      </w:r>
    </w:p>
    <w:p w14:paraId="7AC047BF" w14:textId="77777777" w:rsidR="00EB48BD" w:rsidRDefault="00000000">
      <w:pPr>
        <w:spacing w:after="40"/>
      </w:pPr>
      <w:r>
        <w:rPr>
          <w:rFonts w:ascii="Calibri" w:hAnsi="Calibri"/>
          <w:sz w:val="20"/>
        </w:rPr>
        <w:t xml:space="preserve">  • Urinary tract obstruction symptoms</w:t>
      </w:r>
    </w:p>
    <w:p w14:paraId="3D8D5CCD" w14:textId="77777777" w:rsidR="00EB48BD" w:rsidRDefault="00000000">
      <w:pPr>
        <w:spacing w:after="40"/>
      </w:pPr>
      <w:r>
        <w:rPr>
          <w:rFonts w:ascii="Calibri" w:hAnsi="Calibri"/>
          <w:sz w:val="20"/>
        </w:rPr>
        <w:t xml:space="preserve">  • Family history of APKD (age &gt;20)</w:t>
      </w:r>
    </w:p>
    <w:p w14:paraId="732E0C65" w14:textId="77777777" w:rsidR="00EB48BD" w:rsidRDefault="00000000">
      <w:pPr>
        <w:spacing w:after="40"/>
      </w:pPr>
      <w:r>
        <w:rPr>
          <w:rFonts w:ascii="Calibri" w:hAnsi="Calibri"/>
          <w:sz w:val="20"/>
        </w:rPr>
        <w:t xml:space="preserve">  • eGFR &lt;30 (G4/G5)</w:t>
      </w:r>
    </w:p>
    <w:p w14:paraId="489E7C6C" w14:textId="77777777" w:rsidR="00EB48BD" w:rsidRDefault="00000000">
      <w:pPr>
        <w:spacing w:after="40"/>
      </w:pPr>
      <w:r>
        <w:rPr>
          <w:rFonts w:ascii="Calibri" w:hAnsi="Calibri"/>
          <w:sz w:val="20"/>
        </w:rPr>
        <w:t xml:space="preserve">  • Before renal biopsy</w:t>
      </w:r>
    </w:p>
    <w:p w14:paraId="03180D49" w14:textId="77777777" w:rsidR="00EB48BD" w:rsidRDefault="00EB48BD"/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EB48BD" w14:paraId="1541A54A" w14:textId="77777777">
        <w:trPr>
          <w:jc w:val="center"/>
        </w:trPr>
        <w:tc>
          <w:tcPr>
            <w:tcW w:w="9406" w:type="dxa"/>
            <w:shd w:val="clear" w:color="auto" w:fill="FFF3CD"/>
          </w:tcPr>
          <w:p w14:paraId="4CC25906" w14:textId="77777777" w:rsidR="00EB48BD" w:rsidRDefault="00000000">
            <w:pPr>
              <w:spacing w:before="120"/>
            </w:pPr>
            <w:r>
              <w:rPr>
                <w:rFonts w:ascii="Calibri" w:hAnsi="Calibri"/>
                <w:b/>
                <w:color w:val="856404"/>
              </w:rPr>
              <w:t>⚠ SADMAN + SGLT2 Sick Day Rules — Stop in Acute Illness</w:t>
            </w:r>
          </w:p>
          <w:p w14:paraId="56DE1B2A" w14:textId="77777777" w:rsidR="00EB48BD" w:rsidRDefault="00000000">
            <w:r>
              <w:rPr>
                <w:rFonts w:ascii="Calibri" w:hAnsi="Calibri"/>
                <w:sz w:val="20"/>
              </w:rPr>
              <w:t>S = Sulphonylureas  |  A = ACEi/ARBs  |  D = Diuretics  |  M = Metformin</w:t>
            </w:r>
          </w:p>
          <w:p w14:paraId="21C4FEE4" w14:textId="77777777" w:rsidR="00EB48BD" w:rsidRDefault="00000000">
            <w:r>
              <w:rPr>
                <w:rFonts w:ascii="Calibri" w:hAnsi="Calibri"/>
                <w:sz w:val="20"/>
              </w:rPr>
              <w:t>A = Aliskiren  |  N = NSAIDs  |  + SGLT2 inhibitors (DKA risk)</w:t>
            </w:r>
          </w:p>
          <w:p w14:paraId="1D732222" w14:textId="77777777" w:rsidR="00EB48BD" w:rsidRDefault="00EB48BD"/>
          <w:p w14:paraId="64F139C2" w14:textId="77777777" w:rsidR="00EB48BD" w:rsidRDefault="00000000">
            <w:pPr>
              <w:spacing w:after="120"/>
            </w:pPr>
            <w:r>
              <w:rPr>
                <w:rFonts w:ascii="Calibri" w:hAnsi="Calibri"/>
                <w:sz w:val="20"/>
              </w:rPr>
              <w:t>Restart when well and able to eat/drink normally. If no improvement in 2–3 days → seek advice.</w:t>
            </w:r>
          </w:p>
        </w:tc>
      </w:tr>
    </w:tbl>
    <w:p w14:paraId="3F77EEAD" w14:textId="77777777" w:rsidR="00EB48BD" w:rsidRDefault="00EB48BD"/>
    <w:p w14:paraId="770C44ED" w14:textId="77777777" w:rsidR="00EB48BD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t>💊 Key Drug eGFR Thresholds (BNF, May 2026)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5"/>
        <w:gridCol w:w="3135"/>
        <w:gridCol w:w="3135"/>
      </w:tblGrid>
      <w:tr w:rsidR="00EB48BD" w14:paraId="04D93521" w14:textId="77777777">
        <w:tc>
          <w:tcPr>
            <w:tcW w:w="3135" w:type="dxa"/>
            <w:shd w:val="clear" w:color="auto" w:fill="1B4F8A"/>
          </w:tcPr>
          <w:p w14:paraId="2CBD2F63" w14:textId="77777777" w:rsidR="00EB48BD" w:rsidRDefault="00000000">
            <w:r>
              <w:rPr>
                <w:rFonts w:ascii="Calibri" w:hAnsi="Calibri"/>
                <w:b/>
                <w:color w:val="FFFFFF"/>
                <w:sz w:val="20"/>
              </w:rPr>
              <w:t>Drug</w:t>
            </w:r>
          </w:p>
        </w:tc>
        <w:tc>
          <w:tcPr>
            <w:tcW w:w="3135" w:type="dxa"/>
            <w:shd w:val="clear" w:color="auto" w:fill="1B4F8A"/>
          </w:tcPr>
          <w:p w14:paraId="70CFA308" w14:textId="77777777" w:rsidR="00EB48BD" w:rsidRDefault="00000000">
            <w:r>
              <w:rPr>
                <w:rFonts w:ascii="Calibri" w:hAnsi="Calibri"/>
                <w:b/>
                <w:color w:val="FFFFFF"/>
                <w:sz w:val="20"/>
              </w:rPr>
              <w:t>eGFR Threshold</w:t>
            </w:r>
          </w:p>
        </w:tc>
        <w:tc>
          <w:tcPr>
            <w:tcW w:w="3135" w:type="dxa"/>
            <w:shd w:val="clear" w:color="auto" w:fill="1B4F8A"/>
          </w:tcPr>
          <w:p w14:paraId="68AE6157" w14:textId="77777777" w:rsidR="00EB48BD" w:rsidRDefault="00000000">
            <w:r>
              <w:rPr>
                <w:rFonts w:ascii="Calibri" w:hAnsi="Calibri"/>
                <w:b/>
                <w:color w:val="FFFFFF"/>
                <w:sz w:val="20"/>
              </w:rPr>
              <w:t>Action</w:t>
            </w:r>
          </w:p>
        </w:tc>
      </w:tr>
      <w:tr w:rsidR="00EB48BD" w14:paraId="0E4DDB9D" w14:textId="77777777">
        <w:tc>
          <w:tcPr>
            <w:tcW w:w="3135" w:type="dxa"/>
          </w:tcPr>
          <w:p w14:paraId="1BD7E365" w14:textId="77777777" w:rsidR="00EB48BD" w:rsidRDefault="00000000">
            <w:r>
              <w:rPr>
                <w:rFonts w:ascii="Calibri" w:hAnsi="Calibri"/>
                <w:sz w:val="20"/>
              </w:rPr>
              <w:t>Nitrofurantoin</w:t>
            </w:r>
          </w:p>
        </w:tc>
        <w:tc>
          <w:tcPr>
            <w:tcW w:w="3135" w:type="dxa"/>
          </w:tcPr>
          <w:p w14:paraId="443B5A34" w14:textId="77777777" w:rsidR="00EB48BD" w:rsidRDefault="00000000">
            <w:r>
              <w:rPr>
                <w:rFonts w:ascii="Calibri" w:hAnsi="Calibri"/>
                <w:sz w:val="20"/>
              </w:rPr>
              <w:t>&lt;45</w:t>
            </w:r>
          </w:p>
        </w:tc>
        <w:tc>
          <w:tcPr>
            <w:tcW w:w="3135" w:type="dxa"/>
          </w:tcPr>
          <w:p w14:paraId="340065CB" w14:textId="77777777" w:rsidR="00EB48BD" w:rsidRDefault="00000000">
            <w:r>
              <w:rPr>
                <w:rFonts w:ascii="Calibri" w:hAnsi="Calibri"/>
                <w:sz w:val="20"/>
              </w:rPr>
              <w:t>AVOID — ineffective + neuropathy risk; use trimethoprim or pivmecillinam</w:t>
            </w:r>
          </w:p>
        </w:tc>
      </w:tr>
      <w:tr w:rsidR="00EB48BD" w14:paraId="07C21C53" w14:textId="77777777">
        <w:tc>
          <w:tcPr>
            <w:tcW w:w="3135" w:type="dxa"/>
          </w:tcPr>
          <w:p w14:paraId="5BEED8B8" w14:textId="77777777" w:rsidR="00EB48BD" w:rsidRDefault="00000000">
            <w:r>
              <w:rPr>
                <w:rFonts w:ascii="Calibri" w:hAnsi="Calibri"/>
                <w:sz w:val="20"/>
              </w:rPr>
              <w:t>Metformin</w:t>
            </w:r>
          </w:p>
        </w:tc>
        <w:tc>
          <w:tcPr>
            <w:tcW w:w="3135" w:type="dxa"/>
          </w:tcPr>
          <w:p w14:paraId="74FCFE01" w14:textId="77777777" w:rsidR="00EB48BD" w:rsidRDefault="00000000">
            <w:r>
              <w:rPr>
                <w:rFonts w:ascii="Calibri" w:hAnsi="Calibri"/>
                <w:sz w:val="20"/>
              </w:rPr>
              <w:t>&lt;30</w:t>
            </w:r>
          </w:p>
        </w:tc>
        <w:tc>
          <w:tcPr>
            <w:tcW w:w="3135" w:type="dxa"/>
          </w:tcPr>
          <w:p w14:paraId="28A97389" w14:textId="77777777" w:rsidR="00EB48BD" w:rsidRDefault="00000000">
            <w:r>
              <w:rPr>
                <w:rFonts w:ascii="Calibri" w:hAnsi="Calibri"/>
                <w:sz w:val="20"/>
              </w:rPr>
              <w:t>CONTRAINDICATED (lactic acidosis); caution 30–45</w:t>
            </w:r>
          </w:p>
        </w:tc>
      </w:tr>
      <w:tr w:rsidR="00EB48BD" w14:paraId="56A4418A" w14:textId="77777777">
        <w:tc>
          <w:tcPr>
            <w:tcW w:w="3135" w:type="dxa"/>
          </w:tcPr>
          <w:p w14:paraId="3CC54F8E" w14:textId="77777777" w:rsidR="00EB48BD" w:rsidRDefault="00000000">
            <w:r>
              <w:rPr>
                <w:rFonts w:ascii="Calibri" w:hAnsi="Calibri"/>
                <w:sz w:val="20"/>
              </w:rPr>
              <w:t>Alendronic acid</w:t>
            </w:r>
          </w:p>
        </w:tc>
        <w:tc>
          <w:tcPr>
            <w:tcW w:w="3135" w:type="dxa"/>
          </w:tcPr>
          <w:p w14:paraId="7889C549" w14:textId="77777777" w:rsidR="00EB48BD" w:rsidRDefault="00000000">
            <w:r>
              <w:rPr>
                <w:rFonts w:ascii="Calibri" w:hAnsi="Calibri"/>
                <w:sz w:val="20"/>
              </w:rPr>
              <w:t>&lt;35</w:t>
            </w:r>
          </w:p>
        </w:tc>
        <w:tc>
          <w:tcPr>
            <w:tcW w:w="3135" w:type="dxa"/>
          </w:tcPr>
          <w:p w14:paraId="58628564" w14:textId="77777777" w:rsidR="00EB48BD" w:rsidRDefault="00000000">
            <w:r>
              <w:rPr>
                <w:rFonts w:ascii="Calibri" w:hAnsi="Calibri"/>
                <w:sz w:val="20"/>
              </w:rPr>
              <w:t>AVOID</w:t>
            </w:r>
          </w:p>
        </w:tc>
      </w:tr>
      <w:tr w:rsidR="00EB48BD" w14:paraId="08259790" w14:textId="77777777">
        <w:tc>
          <w:tcPr>
            <w:tcW w:w="3135" w:type="dxa"/>
          </w:tcPr>
          <w:p w14:paraId="767340C4" w14:textId="77777777" w:rsidR="00EB48BD" w:rsidRDefault="00000000">
            <w:r>
              <w:rPr>
                <w:rFonts w:ascii="Calibri" w:hAnsi="Calibri"/>
                <w:sz w:val="20"/>
              </w:rPr>
              <w:t>Calceos (Ca+D3)</w:t>
            </w:r>
          </w:p>
        </w:tc>
        <w:tc>
          <w:tcPr>
            <w:tcW w:w="3135" w:type="dxa"/>
          </w:tcPr>
          <w:p w14:paraId="3E88A626" w14:textId="77777777" w:rsidR="00EB48BD" w:rsidRDefault="00000000">
            <w:r>
              <w:rPr>
                <w:rFonts w:ascii="Calibri" w:hAnsi="Calibri"/>
                <w:sz w:val="20"/>
              </w:rPr>
              <w:t>&lt;20</w:t>
            </w:r>
          </w:p>
        </w:tc>
        <w:tc>
          <w:tcPr>
            <w:tcW w:w="3135" w:type="dxa"/>
          </w:tcPr>
          <w:p w14:paraId="1B5ADEE4" w14:textId="77777777" w:rsidR="00EB48BD" w:rsidRDefault="00000000">
            <w:r>
              <w:rPr>
                <w:rFonts w:ascii="Calibri" w:hAnsi="Calibri"/>
                <w:sz w:val="20"/>
              </w:rPr>
              <w:t>Contraindicated</w:t>
            </w:r>
          </w:p>
        </w:tc>
      </w:tr>
      <w:tr w:rsidR="00EB48BD" w14:paraId="0768EA37" w14:textId="77777777">
        <w:tc>
          <w:tcPr>
            <w:tcW w:w="3135" w:type="dxa"/>
          </w:tcPr>
          <w:p w14:paraId="253434C6" w14:textId="77777777" w:rsidR="00EB48BD" w:rsidRDefault="00000000">
            <w:r>
              <w:rPr>
                <w:rFonts w:ascii="Calibri" w:hAnsi="Calibri"/>
                <w:sz w:val="20"/>
              </w:rPr>
              <w:t>Apixaban (AF)</w:t>
            </w:r>
          </w:p>
        </w:tc>
        <w:tc>
          <w:tcPr>
            <w:tcW w:w="3135" w:type="dxa"/>
          </w:tcPr>
          <w:p w14:paraId="5ED95204" w14:textId="77777777" w:rsidR="00EB48BD" w:rsidRDefault="00000000">
            <w:r>
              <w:rPr>
                <w:rFonts w:ascii="Calibri" w:hAnsi="Calibri"/>
                <w:sz w:val="20"/>
              </w:rPr>
              <w:t>&lt;15</w:t>
            </w:r>
          </w:p>
        </w:tc>
        <w:tc>
          <w:tcPr>
            <w:tcW w:w="3135" w:type="dxa"/>
          </w:tcPr>
          <w:p w14:paraId="522C453C" w14:textId="77777777" w:rsidR="00EB48BD" w:rsidRDefault="00000000">
            <w:r>
              <w:rPr>
                <w:rFonts w:ascii="Calibri" w:hAnsi="Calibri"/>
                <w:sz w:val="20"/>
              </w:rPr>
              <w:t>Not recommended; 2.5mg BD if ≥2 of: age≥80, wt≤60kg, Cr≥133</w:t>
            </w:r>
          </w:p>
        </w:tc>
      </w:tr>
      <w:tr w:rsidR="00EB48BD" w14:paraId="1BA57B86" w14:textId="77777777">
        <w:tc>
          <w:tcPr>
            <w:tcW w:w="3135" w:type="dxa"/>
          </w:tcPr>
          <w:p w14:paraId="5EEDE42B" w14:textId="77777777" w:rsidR="00EB48BD" w:rsidRDefault="00000000">
            <w:r>
              <w:rPr>
                <w:rFonts w:ascii="Calibri" w:hAnsi="Calibri"/>
                <w:sz w:val="20"/>
              </w:rPr>
              <w:t>Dabigatran</w:t>
            </w:r>
          </w:p>
        </w:tc>
        <w:tc>
          <w:tcPr>
            <w:tcW w:w="3135" w:type="dxa"/>
          </w:tcPr>
          <w:p w14:paraId="67573B8E" w14:textId="77777777" w:rsidR="00EB48BD" w:rsidRDefault="00000000">
            <w:r>
              <w:rPr>
                <w:rFonts w:ascii="Calibri" w:hAnsi="Calibri"/>
                <w:sz w:val="20"/>
              </w:rPr>
              <w:t>&lt;30</w:t>
            </w:r>
          </w:p>
        </w:tc>
        <w:tc>
          <w:tcPr>
            <w:tcW w:w="3135" w:type="dxa"/>
          </w:tcPr>
          <w:p w14:paraId="1894B30B" w14:textId="77777777" w:rsidR="00EB48BD" w:rsidRDefault="00000000">
            <w:r>
              <w:rPr>
                <w:rFonts w:ascii="Calibri" w:hAnsi="Calibri"/>
                <w:sz w:val="20"/>
              </w:rPr>
              <w:t>Contraindicated</w:t>
            </w:r>
          </w:p>
        </w:tc>
      </w:tr>
      <w:tr w:rsidR="00EB48BD" w14:paraId="389874C4" w14:textId="77777777">
        <w:tc>
          <w:tcPr>
            <w:tcW w:w="3135" w:type="dxa"/>
          </w:tcPr>
          <w:p w14:paraId="368084F1" w14:textId="77777777" w:rsidR="00EB48BD" w:rsidRDefault="00000000">
            <w:r>
              <w:rPr>
                <w:rFonts w:ascii="Calibri" w:hAnsi="Calibri"/>
                <w:sz w:val="20"/>
              </w:rPr>
              <w:t>Edoxaban</w:t>
            </w:r>
          </w:p>
        </w:tc>
        <w:tc>
          <w:tcPr>
            <w:tcW w:w="3135" w:type="dxa"/>
          </w:tcPr>
          <w:p w14:paraId="7B78F367" w14:textId="77777777" w:rsidR="00EB48BD" w:rsidRDefault="00000000">
            <w:r>
              <w:rPr>
                <w:rFonts w:ascii="Calibri" w:hAnsi="Calibri"/>
                <w:sz w:val="20"/>
              </w:rPr>
              <w:t>&lt;15</w:t>
            </w:r>
          </w:p>
        </w:tc>
        <w:tc>
          <w:tcPr>
            <w:tcW w:w="3135" w:type="dxa"/>
          </w:tcPr>
          <w:p w14:paraId="6A1EBF29" w14:textId="77777777" w:rsidR="00EB48BD" w:rsidRDefault="00000000">
            <w:r>
              <w:rPr>
                <w:rFonts w:ascii="Calibri" w:hAnsi="Calibri"/>
                <w:sz w:val="20"/>
              </w:rPr>
              <w:t>Avoid; reduce to 30mg OD if 15–50</w:t>
            </w:r>
          </w:p>
        </w:tc>
      </w:tr>
      <w:tr w:rsidR="00EB48BD" w14:paraId="6D246CE8" w14:textId="77777777">
        <w:tc>
          <w:tcPr>
            <w:tcW w:w="3135" w:type="dxa"/>
          </w:tcPr>
          <w:p w14:paraId="4BC45A1F" w14:textId="77777777" w:rsidR="00EB48BD" w:rsidRDefault="00000000">
            <w:r>
              <w:rPr>
                <w:rFonts w:ascii="Calibri" w:hAnsi="Calibri"/>
                <w:sz w:val="20"/>
              </w:rPr>
              <w:t>Dapagliflozin (CKD)</w:t>
            </w:r>
          </w:p>
        </w:tc>
        <w:tc>
          <w:tcPr>
            <w:tcW w:w="3135" w:type="dxa"/>
          </w:tcPr>
          <w:p w14:paraId="46C225B6" w14:textId="77777777" w:rsidR="00EB48BD" w:rsidRDefault="00000000">
            <w:r>
              <w:rPr>
                <w:rFonts w:ascii="Calibri" w:hAnsi="Calibri"/>
                <w:sz w:val="20"/>
              </w:rPr>
              <w:t>&lt;15</w:t>
            </w:r>
          </w:p>
        </w:tc>
        <w:tc>
          <w:tcPr>
            <w:tcW w:w="3135" w:type="dxa"/>
          </w:tcPr>
          <w:p w14:paraId="212D97C7" w14:textId="77777777" w:rsidR="00EB48BD" w:rsidRDefault="00000000">
            <w:r>
              <w:rPr>
                <w:rFonts w:ascii="Calibri" w:hAnsi="Calibri"/>
                <w:sz w:val="20"/>
              </w:rPr>
              <w:t>Do not initiate</w:t>
            </w:r>
          </w:p>
        </w:tc>
      </w:tr>
      <w:tr w:rsidR="00EB48BD" w14:paraId="02DEDC50" w14:textId="77777777">
        <w:tc>
          <w:tcPr>
            <w:tcW w:w="3135" w:type="dxa"/>
          </w:tcPr>
          <w:p w14:paraId="2972E24A" w14:textId="77777777" w:rsidR="00EB48BD" w:rsidRDefault="00000000">
            <w:r>
              <w:rPr>
                <w:rFonts w:ascii="Calibri" w:hAnsi="Calibri"/>
                <w:sz w:val="20"/>
              </w:rPr>
              <w:t>Empagliflozin (DM)</w:t>
            </w:r>
          </w:p>
        </w:tc>
        <w:tc>
          <w:tcPr>
            <w:tcW w:w="3135" w:type="dxa"/>
          </w:tcPr>
          <w:p w14:paraId="375FFAD7" w14:textId="77777777" w:rsidR="00EB48BD" w:rsidRDefault="00000000">
            <w:r>
              <w:rPr>
                <w:rFonts w:ascii="Calibri" w:hAnsi="Calibri"/>
                <w:sz w:val="20"/>
              </w:rPr>
              <w:t>&lt;30</w:t>
            </w:r>
          </w:p>
        </w:tc>
        <w:tc>
          <w:tcPr>
            <w:tcW w:w="3135" w:type="dxa"/>
          </w:tcPr>
          <w:p w14:paraId="7826C84B" w14:textId="77777777" w:rsidR="00EB48BD" w:rsidRDefault="00000000">
            <w:r>
              <w:rPr>
                <w:rFonts w:ascii="Calibri" w:hAnsi="Calibri"/>
                <w:sz w:val="20"/>
              </w:rPr>
              <w:t>Avoid for diabetes; &lt;20 avoid for CHF</w:t>
            </w:r>
          </w:p>
        </w:tc>
      </w:tr>
      <w:tr w:rsidR="00EB48BD" w14:paraId="34970C11" w14:textId="77777777">
        <w:tc>
          <w:tcPr>
            <w:tcW w:w="3135" w:type="dxa"/>
          </w:tcPr>
          <w:p w14:paraId="3AB68E4D" w14:textId="77777777" w:rsidR="00EB48BD" w:rsidRDefault="00000000">
            <w:r>
              <w:rPr>
                <w:rFonts w:ascii="Calibri" w:hAnsi="Calibri"/>
                <w:sz w:val="20"/>
              </w:rPr>
              <w:t>Allopurinol</w:t>
            </w:r>
          </w:p>
        </w:tc>
        <w:tc>
          <w:tcPr>
            <w:tcW w:w="3135" w:type="dxa"/>
          </w:tcPr>
          <w:p w14:paraId="087E0462" w14:textId="77777777" w:rsidR="00EB48BD" w:rsidRDefault="00000000">
            <w:r>
              <w:rPr>
                <w:rFonts w:ascii="Calibri" w:hAnsi="Calibri"/>
                <w:sz w:val="20"/>
              </w:rPr>
              <w:t>&lt;30</w:t>
            </w:r>
          </w:p>
        </w:tc>
        <w:tc>
          <w:tcPr>
            <w:tcW w:w="3135" w:type="dxa"/>
          </w:tcPr>
          <w:p w14:paraId="657AD700" w14:textId="77777777" w:rsidR="00EB48BD" w:rsidRDefault="00000000">
            <w:r>
              <w:rPr>
                <w:rFonts w:ascii="Calibri" w:hAnsi="Calibri"/>
                <w:sz w:val="20"/>
              </w:rPr>
              <w:t>Reduce dose; max 100mg, increase cautiously</w:t>
            </w:r>
          </w:p>
        </w:tc>
      </w:tr>
    </w:tbl>
    <w:p w14:paraId="7BCABEC9" w14:textId="77777777" w:rsidR="00EB48BD" w:rsidRDefault="00EB48BD"/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EB48BD" w14:paraId="64E024E7" w14:textId="77777777">
        <w:trPr>
          <w:jc w:val="center"/>
        </w:trPr>
        <w:tc>
          <w:tcPr>
            <w:tcW w:w="9406" w:type="dxa"/>
            <w:shd w:val="clear" w:color="auto" w:fill="FFF3CD"/>
          </w:tcPr>
          <w:p w14:paraId="2C061AA9" w14:textId="77777777" w:rsidR="00EB48BD" w:rsidRDefault="00000000">
            <w:pPr>
              <w:spacing w:before="120"/>
            </w:pPr>
            <w:r>
              <w:rPr>
                <w:rFonts w:ascii="Calibri" w:hAnsi="Calibri"/>
                <w:b/>
                <w:color w:val="856404"/>
              </w:rPr>
              <w:t>⚠ Disclaimer</w:t>
            </w:r>
          </w:p>
          <w:p w14:paraId="01397FC5" w14:textId="77777777" w:rsidR="00EB48BD" w:rsidRDefault="00000000">
            <w:r>
              <w:rPr>
                <w:rFonts w:ascii="Calibri" w:hAnsi="Calibri"/>
                <w:sz w:val="20"/>
              </w:rPr>
              <w:t>Always double check this advice and drug doses with the latest NICE/BNF guidance.</w:t>
            </w:r>
          </w:p>
          <w:p w14:paraId="15E748CA" w14:textId="77777777" w:rsidR="00EB48BD" w:rsidRDefault="00000000">
            <w:pPr>
              <w:spacing w:after="120"/>
            </w:pPr>
            <w:r>
              <w:rPr>
                <w:rFonts w:ascii="Calibri" w:hAnsi="Calibri"/>
                <w:sz w:val="20"/>
              </w:rPr>
              <w:t>This document is for educational purposes only.</w:t>
            </w:r>
          </w:p>
        </w:tc>
      </w:tr>
    </w:tbl>
    <w:p w14:paraId="05F4AE1E" w14:textId="77777777" w:rsidR="00EB48BD" w:rsidRDefault="00EB48BD">
      <w:pPr>
        <w:spacing w:after="80"/>
      </w:pPr>
    </w:p>
    <w:sectPr w:rsidR="00EB48BD" w:rsidSect="00034616">
      <w:footerReference w:type="default" r:id="rId8"/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8F9E8" w14:textId="77777777" w:rsidR="00B11A37" w:rsidRDefault="00B11A37">
      <w:pPr>
        <w:spacing w:after="0" w:line="240" w:lineRule="auto"/>
      </w:pPr>
      <w:r>
        <w:separator/>
      </w:r>
    </w:p>
  </w:endnote>
  <w:endnote w:type="continuationSeparator" w:id="0">
    <w:p w14:paraId="318C4913" w14:textId="77777777" w:rsidR="00B11A37" w:rsidRDefault="00B11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2C67B" w14:textId="77777777" w:rsidR="00EB48BD" w:rsidRDefault="00000000">
    <w:pPr>
      <w:pStyle w:val="Footer"/>
      <w:jc w:val="center"/>
    </w:pPr>
    <w:r>
      <w:rPr>
        <w:rFonts w:ascii="Calibri" w:hAnsi="Calibri"/>
        <w:color w:val="646464"/>
        <w:sz w:val="16"/>
      </w:rPr>
      <w:t>A free resource provided by www.bradfordvts.co.uk, Dr Ramesh Mehay, original date unknown, revised May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B5A11" w14:textId="77777777" w:rsidR="00B11A37" w:rsidRDefault="00B11A37">
      <w:pPr>
        <w:spacing w:after="0" w:line="240" w:lineRule="auto"/>
      </w:pPr>
      <w:r>
        <w:separator/>
      </w:r>
    </w:p>
  </w:footnote>
  <w:footnote w:type="continuationSeparator" w:id="0">
    <w:p w14:paraId="78A79117" w14:textId="77777777" w:rsidR="00B11A37" w:rsidRDefault="00B11A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43057018">
    <w:abstractNumId w:val="8"/>
  </w:num>
  <w:num w:numId="2" w16cid:durableId="1446778630">
    <w:abstractNumId w:val="6"/>
  </w:num>
  <w:num w:numId="3" w16cid:durableId="2097556394">
    <w:abstractNumId w:val="5"/>
  </w:num>
  <w:num w:numId="4" w16cid:durableId="2139181242">
    <w:abstractNumId w:val="4"/>
  </w:num>
  <w:num w:numId="5" w16cid:durableId="950471720">
    <w:abstractNumId w:val="7"/>
  </w:num>
  <w:num w:numId="6" w16cid:durableId="839737618">
    <w:abstractNumId w:val="3"/>
  </w:num>
  <w:num w:numId="7" w16cid:durableId="1011177337">
    <w:abstractNumId w:val="2"/>
  </w:num>
  <w:num w:numId="8" w16cid:durableId="2140876873">
    <w:abstractNumId w:val="1"/>
  </w:num>
  <w:num w:numId="9" w16cid:durableId="542517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476B5"/>
    <w:rsid w:val="00A4766E"/>
    <w:rsid w:val="00AA1D8D"/>
    <w:rsid w:val="00B11A37"/>
    <w:rsid w:val="00B47730"/>
    <w:rsid w:val="00CB0664"/>
    <w:rsid w:val="00EB48B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7B86E4"/>
  <w14:defaultImageDpi w14:val="300"/>
  <w15:docId w15:val="{B70F49C1-E248-4B7B-9F2A-0D7BF73B8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546</Words>
  <Characters>2962</Characters>
  <Application>Microsoft Office Word</Application>
  <DocSecurity>0</DocSecurity>
  <Lines>134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3</cp:revision>
  <dcterms:created xsi:type="dcterms:W3CDTF">2013-12-23T23:15:00Z</dcterms:created>
  <dcterms:modified xsi:type="dcterms:W3CDTF">2026-06-16T14:41:00Z</dcterms:modified>
  <cp:category/>
</cp:coreProperties>
</file>