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jc w:val="center"/>
        <w:tblLook w:val="04A0" w:firstRow="1" w:lastRow="0" w:firstColumn="1" w:lastColumn="0" w:noHBand="0" w:noVBand="1"/>
      </w:tblPr>
      <w:tblGrid>
        <w:gridCol w:w="9978"/>
      </w:tblGrid>
      <w:tr w:rsidR="00C87671" w14:paraId="195E2AF7" w14:textId="77777777">
        <w:trPr>
          <w:jc w:val="center"/>
        </w:trPr>
        <w:tc>
          <w:tcPr>
            <w:tcW w:w="9978" w:type="dxa"/>
            <w:tcBorders>
              <w:top w:val="single" w:sz="0" w:space="0" w:color="E0651F"/>
              <w:left w:val="single" w:sz="0" w:space="0" w:color="E0651F"/>
              <w:bottom w:val="single" w:sz="0" w:space="0" w:color="E0651F"/>
              <w:right w:val="single" w:sz="0" w:space="0" w:color="E0651F"/>
            </w:tcBorders>
            <w:shd w:val="clear" w:color="auto" w:fill="E0651F"/>
          </w:tcPr>
          <w:p w14:paraId="0316F4BE" w14:textId="77777777" w:rsidR="00C87671" w:rsidRDefault="00000000">
            <w:pPr>
              <w:spacing w:before="240" w:after="160" w:line="240" w:lineRule="auto"/>
              <w:jc w:val="center"/>
            </w:pPr>
            <w:r>
              <w:rPr>
                <w:b/>
                <w:caps/>
                <w:color w:val="FFFFFF"/>
                <w:sz w:val="24"/>
              </w:rPr>
              <w:t>BRADFORD VTS TEACHING AIDS</w:t>
            </w:r>
          </w:p>
          <w:p w14:paraId="22B7DB11" w14:textId="77777777" w:rsidR="00C87671" w:rsidRDefault="00000000">
            <w:pPr>
              <w:spacing w:after="160" w:line="240" w:lineRule="auto"/>
              <w:jc w:val="center"/>
            </w:pPr>
            <w:r>
              <w:rPr>
                <w:b/>
                <w:color w:val="FFFFFF"/>
                <w:sz w:val="76"/>
              </w:rPr>
              <w:t>Continence Issues: Top Tips for Clinicians</w:t>
            </w:r>
          </w:p>
          <w:p w14:paraId="025BDDF1" w14:textId="77777777" w:rsidR="00C87671" w:rsidRDefault="00000000">
            <w:pPr>
              <w:spacing w:after="240" w:line="240" w:lineRule="auto"/>
              <w:jc w:val="center"/>
            </w:pPr>
            <w:r>
              <w:rPr>
                <w:i/>
                <w:color w:val="FFFFFF"/>
                <w:sz w:val="26"/>
              </w:rPr>
              <w:t>Clinical Practice Guide · Bradford VTS · May 2026</w:t>
            </w:r>
          </w:p>
        </w:tc>
      </w:tr>
    </w:tbl>
    <w:p w14:paraId="4CA2F2FD" w14:textId="77777777" w:rsidR="00C87671" w:rsidRDefault="00C87671"/>
    <w:p w14:paraId="2250B9AA" w14:textId="77777777" w:rsidR="00C87671" w:rsidRDefault="00000000">
      <w:r>
        <w:rPr>
          <w:noProof/>
        </w:rPr>
        <w:drawing>
          <wp:inline distT="0" distB="0" distL="0" distR="0" wp14:anchorId="44E60713" wp14:editId="4D409C44">
            <wp:extent cx="6529387" cy="2657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1.jpg"/>
                    <pic:cNvPicPr/>
                  </pic:nvPicPr>
                  <pic:blipFill rotWithShape="1">
                    <a:blip r:embed="rId8"/>
                    <a:srcRect r="-3488" b="36821"/>
                    <a:stretch>
                      <a:fillRect/>
                    </a:stretch>
                  </pic:blipFill>
                  <pic:spPr bwMode="auto">
                    <a:xfrm>
                      <a:off x="0" y="0"/>
                      <a:ext cx="6529387" cy="2657475"/>
                    </a:xfrm>
                    <a:prstGeom prst="rect">
                      <a:avLst/>
                    </a:prstGeom>
                    <a:ln>
                      <a:noFill/>
                    </a:ln>
                    <a:extLst>
                      <a:ext uri="{53640926-AAD7-44D8-BBD7-CCE9431645EC}">
                        <a14:shadowObscured xmlns:a14="http://schemas.microsoft.com/office/drawing/2010/main"/>
                      </a:ext>
                    </a:extLst>
                  </pic:spPr>
                </pic:pic>
              </a:graphicData>
            </a:graphic>
          </wp:inline>
        </w:drawing>
      </w:r>
    </w:p>
    <w:p w14:paraId="0DEF7BDD" w14:textId="18A49171" w:rsidR="00C87671" w:rsidRDefault="00C87671">
      <w:pPr>
        <w:spacing w:before="40" w:after="280" w:line="240" w:lineRule="auto"/>
        <w:jc w:val="center"/>
      </w:pPr>
    </w:p>
    <w:tbl>
      <w:tblPr>
        <w:tblW w:w="0" w:type="auto"/>
        <w:tblLook w:val="04A0" w:firstRow="1" w:lastRow="0" w:firstColumn="1" w:lastColumn="0" w:noHBand="0" w:noVBand="1"/>
      </w:tblPr>
      <w:tblGrid>
        <w:gridCol w:w="9978"/>
      </w:tblGrid>
      <w:tr w:rsidR="00C87671" w14:paraId="4B247097" w14:textId="77777777">
        <w:tc>
          <w:tcPr>
            <w:tcW w:w="9978" w:type="dxa"/>
            <w:tcBorders>
              <w:top w:val="single" w:sz="8" w:space="0" w:color="E5E5E5"/>
              <w:left w:val="single" w:sz="8" w:space="0" w:color="E5E5E5"/>
              <w:bottom w:val="single" w:sz="8" w:space="0" w:color="E5E5E5"/>
              <w:right w:val="single" w:sz="8" w:space="0" w:color="E5E5E5"/>
            </w:tcBorders>
            <w:shd w:val="clear" w:color="auto" w:fill="F7F7F7"/>
          </w:tcPr>
          <w:p w14:paraId="376F7D3D" w14:textId="77777777" w:rsidR="00C87671" w:rsidRDefault="00000000">
            <w:pPr>
              <w:spacing w:before="160" w:after="160" w:line="252" w:lineRule="auto"/>
              <w:jc w:val="center"/>
            </w:pPr>
            <w:r>
              <w:rPr>
                <w:b/>
                <w:i/>
                <w:color w:val="3A3A3A"/>
                <w:sz w:val="26"/>
              </w:rPr>
              <w:t>Factoid: with appropriate investigation and management, most urinary incontinence can be cured or substantially improved.</w:t>
            </w:r>
          </w:p>
        </w:tc>
      </w:tr>
    </w:tbl>
    <w:p w14:paraId="1A21AADD" w14:textId="77777777" w:rsidR="00C942A8" w:rsidRDefault="00C942A8" w:rsidP="00C942A8"/>
    <w:p w14:paraId="31A95DE1" w14:textId="2289C39A" w:rsidR="00C87671" w:rsidRDefault="00000000" w:rsidP="00C942A8">
      <w:r>
        <w:rPr>
          <w:b/>
          <w:color w:val="E0651F"/>
          <w:sz w:val="36"/>
        </w:rPr>
        <w:t>Introduction</w:t>
      </w:r>
    </w:p>
    <w:p w14:paraId="4983588E" w14:textId="77777777" w:rsidR="00C87671" w:rsidRDefault="00000000">
      <w:pPr>
        <w:spacing w:after="120"/>
      </w:pPr>
      <w:r>
        <w:rPr>
          <w:color w:val="222222"/>
        </w:rPr>
        <w:t>Urinary incontinence is common, distressing and treatable. In primary care, the first job is to define the type of incontinence, look for reversible causes, and start conservative treatment early. Most patients improve with practical advice, bladder retraining, pelvic floor work and careful medication selection.</w:t>
      </w:r>
    </w:p>
    <w:p w14:paraId="4EE914EE" w14:textId="77777777" w:rsidR="00C87671" w:rsidRDefault="00000000">
      <w:pPr>
        <w:spacing w:after="160"/>
      </w:pPr>
      <w:r>
        <w:rPr>
          <w:color w:val="222222"/>
        </w:rPr>
        <w:t>This handout is based on the original 2020 Bradford VTS teaching aid by Loren Pilling, Continence Nurse Specialist, and revised to align with current NICE guidance and updated prescribing safety points for 2026.</w:t>
      </w:r>
    </w:p>
    <w:p w14:paraId="6319B55E" w14:textId="77777777" w:rsidR="00C942A8" w:rsidRDefault="00C942A8">
      <w:pPr>
        <w:rPr>
          <w:b/>
          <w:color w:val="E0651F"/>
          <w:sz w:val="36"/>
        </w:rPr>
      </w:pPr>
      <w:r>
        <w:rPr>
          <w:b/>
          <w:color w:val="E0651F"/>
          <w:sz w:val="36"/>
        </w:rPr>
        <w:br w:type="page"/>
      </w:r>
    </w:p>
    <w:p w14:paraId="5ED4C407" w14:textId="7C6C5584" w:rsidR="00C87671" w:rsidRDefault="00000000">
      <w:pPr>
        <w:spacing w:before="200" w:after="120" w:line="240" w:lineRule="auto"/>
      </w:pPr>
      <w:r>
        <w:rPr>
          <w:b/>
          <w:color w:val="E0651F"/>
          <w:sz w:val="36"/>
        </w:rPr>
        <w:lastRenderedPageBreak/>
        <w:t>Top Tip 1: Before referring — exclude reversible causes</w:t>
      </w:r>
    </w:p>
    <w:p w14:paraId="23712B05" w14:textId="77777777" w:rsidR="00C87671" w:rsidRDefault="00000000">
      <w:pPr>
        <w:spacing w:after="60" w:line="264" w:lineRule="auto"/>
        <w:ind w:left="340" w:hanging="227"/>
      </w:pPr>
      <w:r>
        <w:rPr>
          <w:color w:val="333333"/>
        </w:rPr>
        <w:t>• Clarify the duration of symptoms, severity, pads used, nocturia, urgency, stress leakage, incomplete emptying and impact on daily life.</w:t>
      </w:r>
    </w:p>
    <w:p w14:paraId="478C1690" w14:textId="77777777" w:rsidR="00C87671" w:rsidRDefault="00000000">
      <w:pPr>
        <w:spacing w:after="60" w:line="264" w:lineRule="auto"/>
        <w:ind w:left="340" w:hanging="227"/>
      </w:pPr>
      <w:r>
        <w:rPr>
          <w:color w:val="333333"/>
        </w:rPr>
        <w:t>• Exclude reversible or aggravating factors: urinary tract infection, constipation, diarrhoea, new medicines, excessive caffeine or alcohol, mobility problems, delirium, uncontrolled diabetes, and fluid timing issues.</w:t>
      </w:r>
    </w:p>
    <w:p w14:paraId="644A718B" w14:textId="77777777" w:rsidR="00C87671" w:rsidRDefault="00000000">
      <w:pPr>
        <w:spacing w:after="60" w:line="264" w:lineRule="auto"/>
        <w:ind w:left="340" w:hanging="227"/>
      </w:pPr>
      <w:r>
        <w:rPr>
          <w:color w:val="333333"/>
        </w:rPr>
        <w:t>• Review medication carefully. Diuretics, sedatives, alpha-blockers, antipsychotics, opioids and drugs increasing anticholinergic burden can all worsen continence.</w:t>
      </w:r>
    </w:p>
    <w:p w14:paraId="16F2DC88" w14:textId="77777777" w:rsidR="00C87671" w:rsidRDefault="00000000">
      <w:pPr>
        <w:spacing w:after="60" w:line="264" w:lineRule="auto"/>
        <w:ind w:left="340" w:hanging="227"/>
      </w:pPr>
      <w:r>
        <w:rPr>
          <w:color w:val="333333"/>
        </w:rPr>
        <w:t>• Check for pelvic organ prolapse, atrophic symptoms, faecal loading, overflow symptoms, and neurological red flags.</w:t>
      </w:r>
    </w:p>
    <w:p w14:paraId="7E030A9F" w14:textId="77777777" w:rsidR="00C87671" w:rsidRDefault="00000000">
      <w:pPr>
        <w:spacing w:after="60" w:line="264" w:lineRule="auto"/>
        <w:ind w:left="340" w:hanging="227"/>
      </w:pPr>
      <w:r>
        <w:rPr>
          <w:color w:val="333333"/>
        </w:rPr>
        <w:t>• Containment products are not first-line treatment for likely short-term or new-onset incontinence.</w:t>
      </w:r>
    </w:p>
    <w:p w14:paraId="55BB5EF6" w14:textId="77777777" w:rsidR="00C87671" w:rsidRDefault="00000000">
      <w:pPr>
        <w:spacing w:before="160" w:after="80" w:line="240" w:lineRule="auto"/>
      </w:pPr>
      <w:r>
        <w:rPr>
          <w:b/>
          <w:color w:val="E0651F"/>
          <w:sz w:val="26"/>
        </w:rPr>
        <w:t>Practical primary care assessment</w:t>
      </w:r>
    </w:p>
    <w:p w14:paraId="1036DE1C" w14:textId="77777777" w:rsidR="00C87671" w:rsidRDefault="00000000">
      <w:pPr>
        <w:spacing w:after="60" w:line="264" w:lineRule="auto"/>
        <w:ind w:left="340" w:hanging="227"/>
      </w:pPr>
      <w:r>
        <w:rPr>
          <w:color w:val="333333"/>
        </w:rPr>
        <w:t>• Urinalysis and urine culture if infection is suspected.</w:t>
      </w:r>
    </w:p>
    <w:p w14:paraId="23F38A60" w14:textId="77777777" w:rsidR="00C87671" w:rsidRDefault="00000000">
      <w:pPr>
        <w:spacing w:after="60" w:line="264" w:lineRule="auto"/>
        <w:ind w:left="340" w:hanging="227"/>
      </w:pPr>
      <w:r>
        <w:rPr>
          <w:color w:val="333333"/>
        </w:rPr>
        <w:t>• Bladder diary for at least 3 days where feasible.</w:t>
      </w:r>
    </w:p>
    <w:p w14:paraId="5110532D" w14:textId="77777777" w:rsidR="00C87671" w:rsidRDefault="00000000">
      <w:pPr>
        <w:spacing w:after="60" w:line="264" w:lineRule="auto"/>
        <w:ind w:left="340" w:hanging="227"/>
      </w:pPr>
      <w:r>
        <w:rPr>
          <w:color w:val="333333"/>
        </w:rPr>
        <w:t>• Cough stress test and abdominal / pelvic examination when indicated.</w:t>
      </w:r>
    </w:p>
    <w:p w14:paraId="7A53B811" w14:textId="77777777" w:rsidR="00C87671" w:rsidRDefault="00000000">
      <w:pPr>
        <w:spacing w:after="60" w:line="264" w:lineRule="auto"/>
        <w:ind w:left="340" w:hanging="227"/>
      </w:pPr>
      <w:r>
        <w:rPr>
          <w:color w:val="333333"/>
        </w:rPr>
        <w:t>• Measure post-void residual if voiding dysfunction or retention is suspected.</w:t>
      </w:r>
    </w:p>
    <w:p w14:paraId="78C95264" w14:textId="77777777" w:rsidR="00C87671" w:rsidRDefault="00000000">
      <w:pPr>
        <w:spacing w:after="60" w:line="264" w:lineRule="auto"/>
        <w:ind w:left="340" w:hanging="227"/>
      </w:pPr>
      <w:r>
        <w:rPr>
          <w:color w:val="333333"/>
        </w:rPr>
        <w:t>• Consider bowel habit: change in bowel habit or suspected bowel pathology may require colorectal assessment.</w:t>
      </w:r>
    </w:p>
    <w:p w14:paraId="5E6ACE06" w14:textId="77777777" w:rsidR="00C87671" w:rsidRDefault="00000000">
      <w:pPr>
        <w:spacing w:before="200" w:after="120" w:line="240" w:lineRule="auto"/>
      </w:pPr>
      <w:r>
        <w:rPr>
          <w:b/>
          <w:color w:val="E0651F"/>
          <w:sz w:val="36"/>
        </w:rPr>
        <w:t>Top Tip 2: Referring to continence service — what to include</w:t>
      </w:r>
    </w:p>
    <w:p w14:paraId="426E9438" w14:textId="77777777" w:rsidR="00C87671" w:rsidRDefault="00000000">
      <w:pPr>
        <w:spacing w:after="100"/>
      </w:pPr>
      <w:r>
        <w:rPr>
          <w:color w:val="222222"/>
        </w:rPr>
        <w:t>Referral quality matters. Include enough information so that the patient can be triaged appropriately and the referral is not returned.</w:t>
      </w:r>
    </w:p>
    <w:p w14:paraId="27391298" w14:textId="77777777" w:rsidR="00C87671" w:rsidRDefault="00000000">
      <w:pPr>
        <w:spacing w:after="60" w:line="264" w:lineRule="auto"/>
        <w:ind w:left="340" w:hanging="227"/>
      </w:pPr>
      <w:r>
        <w:rPr>
          <w:color w:val="333333"/>
        </w:rPr>
        <w:t>• Working diagnosis: stress, urgency / overactive bladder, mixed, overflow, functional, or unclear.</w:t>
      </w:r>
    </w:p>
    <w:p w14:paraId="538B1A6C" w14:textId="77777777" w:rsidR="00C87671" w:rsidRDefault="00000000">
      <w:pPr>
        <w:spacing w:after="60" w:line="264" w:lineRule="auto"/>
        <w:ind w:left="340" w:hanging="227"/>
      </w:pPr>
      <w:r>
        <w:rPr>
          <w:color w:val="333333"/>
        </w:rPr>
        <w:t>• Duration of symptoms and severity, including pad usage and effect on sleep / quality of life.</w:t>
      </w:r>
    </w:p>
    <w:p w14:paraId="1A818CD6" w14:textId="77777777" w:rsidR="00C87671" w:rsidRDefault="00000000">
      <w:pPr>
        <w:spacing w:after="60" w:line="264" w:lineRule="auto"/>
        <w:ind w:left="340" w:hanging="227"/>
      </w:pPr>
      <w:r>
        <w:rPr>
          <w:color w:val="333333"/>
        </w:rPr>
        <w:t>• Relevant examination findings, urinalysis results, and whether UTI has been excluded.</w:t>
      </w:r>
    </w:p>
    <w:p w14:paraId="77049AEC" w14:textId="77777777" w:rsidR="00C87671" w:rsidRDefault="00000000">
      <w:pPr>
        <w:spacing w:after="60" w:line="264" w:lineRule="auto"/>
        <w:ind w:left="340" w:hanging="227"/>
      </w:pPr>
      <w:r>
        <w:rPr>
          <w:color w:val="333333"/>
        </w:rPr>
        <w:t>• What conservative treatment has already been tried and for how long.</w:t>
      </w:r>
    </w:p>
    <w:p w14:paraId="06B83DE2" w14:textId="77777777" w:rsidR="00C87671" w:rsidRDefault="00000000">
      <w:pPr>
        <w:spacing w:after="60" w:line="264" w:lineRule="auto"/>
        <w:ind w:left="340" w:hanging="227"/>
      </w:pPr>
      <w:r>
        <w:rPr>
          <w:color w:val="333333"/>
        </w:rPr>
        <w:t>• Current medication list, especially anticholinergic or diuretic drugs.</w:t>
      </w:r>
    </w:p>
    <w:p w14:paraId="652ABB2D" w14:textId="77777777" w:rsidR="00C87671" w:rsidRDefault="00000000">
      <w:pPr>
        <w:spacing w:after="60" w:line="264" w:lineRule="auto"/>
        <w:ind w:left="340" w:hanging="227"/>
      </w:pPr>
      <w:r>
        <w:rPr>
          <w:color w:val="333333"/>
        </w:rPr>
        <w:t>• Red flags, prolapse, recurrent UTIs, neurological concerns, or retention symptoms.</w:t>
      </w:r>
    </w:p>
    <w:p w14:paraId="335B9067" w14:textId="77777777" w:rsidR="00C87671" w:rsidRDefault="00000000">
      <w:pPr>
        <w:spacing w:before="200" w:after="120" w:line="240" w:lineRule="auto"/>
      </w:pPr>
      <w:r>
        <w:rPr>
          <w:b/>
          <w:color w:val="E0651F"/>
          <w:sz w:val="36"/>
        </w:rPr>
        <w:t>Top Tip 3: Fluid advice</w:t>
      </w:r>
    </w:p>
    <w:p w14:paraId="5ABF9E33" w14:textId="77777777" w:rsidR="00C87671" w:rsidRDefault="00000000">
      <w:pPr>
        <w:spacing w:after="100"/>
      </w:pPr>
      <w:r>
        <w:rPr>
          <w:color w:val="222222"/>
        </w:rPr>
        <w:t>A focused conversation about fluids often improves symptoms significantly.</w:t>
      </w:r>
    </w:p>
    <w:p w14:paraId="0425021E" w14:textId="77777777" w:rsidR="00C87671" w:rsidRDefault="00000000">
      <w:pPr>
        <w:spacing w:after="60" w:line="264" w:lineRule="auto"/>
        <w:ind w:left="340" w:hanging="227"/>
      </w:pPr>
      <w:r>
        <w:rPr>
          <w:color w:val="333333"/>
        </w:rPr>
        <w:t>• Encourage adequate hydration. Concentrated urine worsens urgency and frequency.</w:t>
      </w:r>
    </w:p>
    <w:p w14:paraId="1ACEE87B" w14:textId="77777777" w:rsidR="00C87671" w:rsidRDefault="00000000">
      <w:pPr>
        <w:spacing w:after="60" w:line="264" w:lineRule="auto"/>
        <w:ind w:left="340" w:hanging="227"/>
      </w:pPr>
      <w:r>
        <w:rPr>
          <w:color w:val="333333"/>
        </w:rPr>
        <w:t>• Reduce bladder irritants where relevant: caffeine, alcohol, energy drinks, cola, and some fizzy drinks.</w:t>
      </w:r>
    </w:p>
    <w:p w14:paraId="0EB97746" w14:textId="77777777" w:rsidR="00C87671" w:rsidRDefault="00000000">
      <w:pPr>
        <w:spacing w:after="60" w:line="264" w:lineRule="auto"/>
        <w:ind w:left="340" w:hanging="227"/>
      </w:pPr>
      <w:r>
        <w:rPr>
          <w:color w:val="333333"/>
        </w:rPr>
        <w:t>• Advise a switch to water or decaffeinated drinks where appropriate.</w:t>
      </w:r>
    </w:p>
    <w:p w14:paraId="7C2181EE" w14:textId="77777777" w:rsidR="00C87671" w:rsidRDefault="00000000">
      <w:pPr>
        <w:spacing w:after="60" w:line="264" w:lineRule="auto"/>
        <w:ind w:left="340" w:hanging="227"/>
      </w:pPr>
      <w:r>
        <w:rPr>
          <w:color w:val="333333"/>
        </w:rPr>
        <w:t>• Avoid large evening fluid loads; stopping routine drinking about 2 hours before sleep can help nocturia or nocturnal enuresis.</w:t>
      </w:r>
    </w:p>
    <w:p w14:paraId="2C828EEF" w14:textId="77777777" w:rsidR="00C87671" w:rsidRDefault="00000000">
      <w:pPr>
        <w:spacing w:after="60" w:line="264" w:lineRule="auto"/>
        <w:ind w:left="340" w:hanging="227"/>
      </w:pPr>
      <w:r>
        <w:rPr>
          <w:color w:val="333333"/>
        </w:rPr>
        <w:t>• Do not advise excessive fluid restriction during the day, as this can worsen urgency and constipation.</w:t>
      </w:r>
    </w:p>
    <w:p w14:paraId="27B229E3" w14:textId="77777777" w:rsidR="00C87671" w:rsidRDefault="00000000">
      <w:pPr>
        <w:spacing w:after="60" w:line="264" w:lineRule="auto"/>
        <w:ind w:left="340" w:hanging="227"/>
      </w:pPr>
      <w:r>
        <w:rPr>
          <w:color w:val="333333"/>
        </w:rPr>
        <w:t>• If symptoms are linked to specific foods or drinks, encourage a symptom diary rather than blanket dietary bans.</w:t>
      </w:r>
    </w:p>
    <w:p w14:paraId="4A901133" w14:textId="77777777" w:rsidR="00C942A8" w:rsidRDefault="00C942A8">
      <w:pPr>
        <w:rPr>
          <w:b/>
          <w:color w:val="E0651F"/>
          <w:sz w:val="36"/>
        </w:rPr>
      </w:pPr>
      <w:r>
        <w:rPr>
          <w:b/>
          <w:color w:val="E0651F"/>
          <w:sz w:val="36"/>
        </w:rPr>
        <w:br w:type="page"/>
      </w:r>
    </w:p>
    <w:p w14:paraId="78FDB2BE" w14:textId="6C4FC045" w:rsidR="00C87671" w:rsidRDefault="00000000">
      <w:pPr>
        <w:spacing w:before="200" w:after="120" w:line="240" w:lineRule="auto"/>
      </w:pPr>
      <w:r>
        <w:rPr>
          <w:b/>
          <w:color w:val="E0651F"/>
          <w:sz w:val="36"/>
        </w:rPr>
        <w:lastRenderedPageBreak/>
        <w:t>Top Tip 4: Lifestyle advice</w:t>
      </w:r>
    </w:p>
    <w:p w14:paraId="37BF1597" w14:textId="77777777" w:rsidR="00C87671" w:rsidRDefault="00000000">
      <w:pPr>
        <w:spacing w:after="60" w:line="264" w:lineRule="auto"/>
        <w:ind w:left="340" w:hanging="227"/>
      </w:pPr>
      <w:r>
        <w:rPr>
          <w:color w:val="333333"/>
        </w:rPr>
        <w:t>• Weight loss can improve stress incontinence and overall pelvic floor loading.</w:t>
      </w:r>
    </w:p>
    <w:p w14:paraId="38AC115B" w14:textId="77777777" w:rsidR="00C87671" w:rsidRDefault="00000000">
      <w:pPr>
        <w:spacing w:after="60" w:line="264" w:lineRule="auto"/>
        <w:ind w:left="340" w:hanging="227"/>
      </w:pPr>
      <w:r>
        <w:rPr>
          <w:color w:val="333333"/>
        </w:rPr>
        <w:t>• Smoking cessation may reduce chronic cough and improve pelvic floor strain.</w:t>
      </w:r>
    </w:p>
    <w:p w14:paraId="3C229F2F" w14:textId="77777777" w:rsidR="00C87671" w:rsidRDefault="00000000">
      <w:pPr>
        <w:spacing w:after="60" w:line="264" w:lineRule="auto"/>
        <w:ind w:left="340" w:hanging="227"/>
      </w:pPr>
      <w:r>
        <w:rPr>
          <w:color w:val="333333"/>
        </w:rPr>
        <w:t>• Treat constipation proactively; bowel dysfunction frequently worsens bladder symptoms.</w:t>
      </w:r>
    </w:p>
    <w:p w14:paraId="1741A0B9" w14:textId="77777777" w:rsidR="00C87671" w:rsidRDefault="00000000">
      <w:pPr>
        <w:spacing w:after="60" w:line="264" w:lineRule="auto"/>
        <w:ind w:left="340" w:hanging="227"/>
      </w:pPr>
      <w:r>
        <w:rPr>
          <w:color w:val="333333"/>
        </w:rPr>
        <w:t>• Support mobility, toileting access and cognitive prompts in frail patients.</w:t>
      </w:r>
    </w:p>
    <w:p w14:paraId="4BBF9A18" w14:textId="77777777" w:rsidR="00C87671" w:rsidRDefault="00000000">
      <w:pPr>
        <w:spacing w:after="60" w:line="264" w:lineRule="auto"/>
        <w:ind w:left="340" w:hanging="227"/>
      </w:pPr>
      <w:r>
        <w:rPr>
          <w:color w:val="333333"/>
        </w:rPr>
        <w:t>• Use NHS patient resources for healthy eating, weight management, smoking cessation and pelvic floor exercise support.</w:t>
      </w:r>
    </w:p>
    <w:p w14:paraId="1087701A" w14:textId="77777777" w:rsidR="00C87671" w:rsidRDefault="00000000">
      <w:pPr>
        <w:spacing w:before="200" w:after="120" w:line="240" w:lineRule="auto"/>
      </w:pPr>
      <w:r>
        <w:rPr>
          <w:b/>
          <w:color w:val="E0651F"/>
          <w:sz w:val="36"/>
        </w:rPr>
        <w:t>Types of urinary incontinence: how to distinguish them</w:t>
      </w:r>
    </w:p>
    <w:tbl>
      <w:tblPr>
        <w:tblStyle w:val="TableGrid"/>
        <w:tblW w:w="0" w:type="auto"/>
        <w:jc w:val="center"/>
        <w:tblLook w:val="04A0" w:firstRow="1" w:lastRow="0" w:firstColumn="1" w:lastColumn="0" w:noHBand="0" w:noVBand="1"/>
      </w:tblPr>
      <w:tblGrid>
        <w:gridCol w:w="4989"/>
        <w:gridCol w:w="4989"/>
      </w:tblGrid>
      <w:tr w:rsidR="00C87671" w14:paraId="012729A0" w14:textId="77777777">
        <w:trPr>
          <w:jc w:val="center"/>
        </w:trPr>
        <w:tc>
          <w:tcPr>
            <w:tcW w:w="4989" w:type="dxa"/>
            <w:shd w:val="clear" w:color="auto" w:fill="E0651F"/>
            <w:vAlign w:val="center"/>
          </w:tcPr>
          <w:p w14:paraId="36E43FB5" w14:textId="77777777" w:rsidR="00C87671" w:rsidRDefault="00000000">
            <w:pPr>
              <w:spacing w:before="40" w:after="40"/>
              <w:jc w:val="center"/>
            </w:pPr>
            <w:r>
              <w:rPr>
                <w:b/>
                <w:color w:val="FFFFFF"/>
              </w:rPr>
              <w:t>Type</w:t>
            </w:r>
          </w:p>
        </w:tc>
        <w:tc>
          <w:tcPr>
            <w:tcW w:w="4989" w:type="dxa"/>
            <w:shd w:val="clear" w:color="auto" w:fill="E0651F"/>
            <w:vAlign w:val="center"/>
          </w:tcPr>
          <w:p w14:paraId="6D6CC750" w14:textId="77777777" w:rsidR="00C87671" w:rsidRDefault="00000000">
            <w:pPr>
              <w:spacing w:before="40" w:after="40"/>
              <w:jc w:val="center"/>
            </w:pPr>
            <w:r>
              <w:rPr>
                <w:b/>
                <w:color w:val="FFFFFF"/>
              </w:rPr>
              <w:t>Typical clinical clues</w:t>
            </w:r>
          </w:p>
        </w:tc>
      </w:tr>
      <w:tr w:rsidR="00C87671" w14:paraId="6413813E" w14:textId="77777777">
        <w:trPr>
          <w:jc w:val="center"/>
        </w:trPr>
        <w:tc>
          <w:tcPr>
            <w:tcW w:w="4989" w:type="dxa"/>
            <w:vAlign w:val="center"/>
          </w:tcPr>
          <w:p w14:paraId="56747F6B" w14:textId="77777777" w:rsidR="00C87671" w:rsidRDefault="00000000">
            <w:pPr>
              <w:spacing w:before="40" w:after="40" w:line="252" w:lineRule="auto"/>
            </w:pPr>
            <w:r>
              <w:rPr>
                <w:b/>
                <w:color w:val="2C2C2C"/>
                <w:sz w:val="21"/>
              </w:rPr>
              <w:t>Stress incontinence</w:t>
            </w:r>
          </w:p>
        </w:tc>
        <w:tc>
          <w:tcPr>
            <w:tcW w:w="4989" w:type="dxa"/>
            <w:vAlign w:val="center"/>
          </w:tcPr>
          <w:p w14:paraId="4E4910BA" w14:textId="77777777" w:rsidR="00C87671" w:rsidRDefault="00000000">
            <w:pPr>
              <w:spacing w:before="40" w:after="40" w:line="252" w:lineRule="auto"/>
            </w:pPr>
            <w:r>
              <w:rPr>
                <w:color w:val="2C2C2C"/>
                <w:sz w:val="21"/>
              </w:rPr>
              <w:t>Leakage with cough, sneeze, laughter, running or lifting; usually small-volume leaks without urgency.</w:t>
            </w:r>
          </w:p>
        </w:tc>
      </w:tr>
      <w:tr w:rsidR="00C87671" w14:paraId="53F5CC8C" w14:textId="77777777">
        <w:trPr>
          <w:jc w:val="center"/>
        </w:trPr>
        <w:tc>
          <w:tcPr>
            <w:tcW w:w="4989" w:type="dxa"/>
            <w:vAlign w:val="center"/>
          </w:tcPr>
          <w:p w14:paraId="5B5200E9" w14:textId="77777777" w:rsidR="00C87671" w:rsidRDefault="00000000">
            <w:pPr>
              <w:spacing w:before="40" w:after="40" w:line="252" w:lineRule="auto"/>
            </w:pPr>
            <w:r>
              <w:rPr>
                <w:b/>
                <w:color w:val="2C2C2C"/>
                <w:sz w:val="21"/>
              </w:rPr>
              <w:t>Urgency / OAB</w:t>
            </w:r>
          </w:p>
        </w:tc>
        <w:tc>
          <w:tcPr>
            <w:tcW w:w="4989" w:type="dxa"/>
            <w:vAlign w:val="center"/>
          </w:tcPr>
          <w:p w14:paraId="73F9DF3B" w14:textId="77777777" w:rsidR="00C87671" w:rsidRDefault="00000000">
            <w:pPr>
              <w:spacing w:before="40" w:after="40" w:line="252" w:lineRule="auto"/>
            </w:pPr>
            <w:r>
              <w:rPr>
                <w:color w:val="2C2C2C"/>
                <w:sz w:val="21"/>
              </w:rPr>
              <w:t>Sudden compelling desire to void, frequency, nocturia, urge leakage, triggered by key-in-door or running water.</w:t>
            </w:r>
          </w:p>
        </w:tc>
      </w:tr>
      <w:tr w:rsidR="00C87671" w14:paraId="675E5C8D" w14:textId="77777777">
        <w:trPr>
          <w:jc w:val="center"/>
        </w:trPr>
        <w:tc>
          <w:tcPr>
            <w:tcW w:w="4989" w:type="dxa"/>
            <w:vAlign w:val="center"/>
          </w:tcPr>
          <w:p w14:paraId="17B50947" w14:textId="77777777" w:rsidR="00C87671" w:rsidRDefault="00000000">
            <w:pPr>
              <w:spacing w:before="40" w:after="40" w:line="252" w:lineRule="auto"/>
            </w:pPr>
            <w:r>
              <w:rPr>
                <w:b/>
                <w:color w:val="2C2C2C"/>
                <w:sz w:val="21"/>
              </w:rPr>
              <w:t>Mixed incontinence</w:t>
            </w:r>
          </w:p>
        </w:tc>
        <w:tc>
          <w:tcPr>
            <w:tcW w:w="4989" w:type="dxa"/>
            <w:vAlign w:val="center"/>
          </w:tcPr>
          <w:p w14:paraId="1731AA48" w14:textId="77777777" w:rsidR="00C87671" w:rsidRDefault="00000000">
            <w:pPr>
              <w:spacing w:before="40" w:after="40" w:line="252" w:lineRule="auto"/>
            </w:pPr>
            <w:r>
              <w:rPr>
                <w:color w:val="2C2C2C"/>
                <w:sz w:val="21"/>
              </w:rPr>
              <w:t>Features of both stress and urgency incontinence; treat the predominant symptom first.</w:t>
            </w:r>
          </w:p>
        </w:tc>
      </w:tr>
      <w:tr w:rsidR="00C87671" w14:paraId="0051F809" w14:textId="77777777">
        <w:trPr>
          <w:jc w:val="center"/>
        </w:trPr>
        <w:tc>
          <w:tcPr>
            <w:tcW w:w="4989" w:type="dxa"/>
            <w:vAlign w:val="center"/>
          </w:tcPr>
          <w:p w14:paraId="2A11899B" w14:textId="77777777" w:rsidR="00C87671" w:rsidRDefault="00000000">
            <w:pPr>
              <w:spacing w:before="40" w:after="40" w:line="252" w:lineRule="auto"/>
            </w:pPr>
            <w:r>
              <w:rPr>
                <w:b/>
                <w:color w:val="2C2C2C"/>
                <w:sz w:val="21"/>
              </w:rPr>
              <w:t>Overflow / retention-related</w:t>
            </w:r>
          </w:p>
        </w:tc>
        <w:tc>
          <w:tcPr>
            <w:tcW w:w="4989" w:type="dxa"/>
            <w:vAlign w:val="center"/>
          </w:tcPr>
          <w:p w14:paraId="7DD8C6DD" w14:textId="77777777" w:rsidR="00C87671" w:rsidRDefault="00000000">
            <w:pPr>
              <w:spacing w:before="40" w:after="40" w:line="252" w:lineRule="auto"/>
            </w:pPr>
            <w:r>
              <w:rPr>
                <w:color w:val="2C2C2C"/>
                <w:sz w:val="21"/>
              </w:rPr>
              <w:t>Dribbling, poor stream, hesitancy, incomplete emptying, recurrent UTIs, palpable bladder or raised post-void residual.</w:t>
            </w:r>
          </w:p>
        </w:tc>
      </w:tr>
    </w:tbl>
    <w:p w14:paraId="63A52C89" w14:textId="77777777" w:rsidR="00C87671" w:rsidRDefault="00C87671"/>
    <w:p w14:paraId="52AA779C" w14:textId="77777777" w:rsidR="00C87671" w:rsidRDefault="00000000">
      <w:pPr>
        <w:spacing w:before="200" w:after="120" w:line="240" w:lineRule="auto"/>
      </w:pPr>
      <w:r>
        <w:rPr>
          <w:b/>
          <w:color w:val="E0651F"/>
          <w:sz w:val="36"/>
        </w:rPr>
        <w:t>Bladder training: technique and duration</w:t>
      </w:r>
    </w:p>
    <w:p w14:paraId="70BB7CDA" w14:textId="77777777" w:rsidR="00C87671" w:rsidRDefault="00000000">
      <w:pPr>
        <w:spacing w:after="100"/>
      </w:pPr>
      <w:r>
        <w:rPr>
          <w:color w:val="222222"/>
        </w:rPr>
        <w:t>Bladder training is first-line conservative treatment for overactive bladder symptoms. NICE guidance recommends at least 6 weeks before judging success.</w:t>
      </w:r>
    </w:p>
    <w:p w14:paraId="63B1A796" w14:textId="77777777" w:rsidR="00C87671" w:rsidRDefault="00000000">
      <w:pPr>
        <w:spacing w:after="60" w:line="264" w:lineRule="auto"/>
        <w:ind w:left="340" w:hanging="227"/>
      </w:pPr>
      <w:r>
        <w:rPr>
          <w:color w:val="333333"/>
        </w:rPr>
        <w:t>• Explain the aim: gradually increase the interval between voids and reduce urgency-driven trips to the toilet.</w:t>
      </w:r>
    </w:p>
    <w:p w14:paraId="31771104" w14:textId="77777777" w:rsidR="00C87671" w:rsidRDefault="00000000">
      <w:pPr>
        <w:spacing w:after="60" w:line="264" w:lineRule="auto"/>
        <w:ind w:left="340" w:hanging="227"/>
      </w:pPr>
      <w:r>
        <w:rPr>
          <w:color w:val="333333"/>
        </w:rPr>
        <w:t>• Start from the patient’s current pattern using a bladder diary.</w:t>
      </w:r>
    </w:p>
    <w:p w14:paraId="3FD49308" w14:textId="77777777" w:rsidR="00C87671" w:rsidRDefault="00000000">
      <w:pPr>
        <w:spacing w:after="60" w:line="264" w:lineRule="auto"/>
        <w:ind w:left="340" w:hanging="227"/>
      </w:pPr>
      <w:r>
        <w:rPr>
          <w:color w:val="333333"/>
        </w:rPr>
        <w:t>• Set timed voiding intervals and increase them gradually, for example by 15–30 minutes at a time.</w:t>
      </w:r>
    </w:p>
    <w:p w14:paraId="591965CF" w14:textId="77777777" w:rsidR="00C87671" w:rsidRDefault="00000000">
      <w:pPr>
        <w:spacing w:after="60" w:line="264" w:lineRule="auto"/>
        <w:ind w:left="340" w:hanging="227"/>
      </w:pPr>
      <w:r>
        <w:rPr>
          <w:color w:val="333333"/>
        </w:rPr>
        <w:t>• Teach urge suppression strategies: stop, sit if needed, pelvic floor squeezes, breathing, and distraction before walking to the toilet.</w:t>
      </w:r>
    </w:p>
    <w:p w14:paraId="3E63901D" w14:textId="77777777" w:rsidR="00C87671" w:rsidRDefault="00000000">
      <w:pPr>
        <w:spacing w:after="60" w:line="264" w:lineRule="auto"/>
        <w:ind w:left="340" w:hanging="227"/>
      </w:pPr>
      <w:r>
        <w:rPr>
          <w:color w:val="333333"/>
        </w:rPr>
        <w:t>• Review after 4–6 weeks, but encourage a full 6-week minimum trial.</w:t>
      </w:r>
    </w:p>
    <w:p w14:paraId="0C9C812E" w14:textId="77777777" w:rsidR="00C87671" w:rsidRDefault="00000000">
      <w:pPr>
        <w:spacing w:before="200" w:after="120" w:line="240" w:lineRule="auto"/>
      </w:pPr>
      <w:r>
        <w:rPr>
          <w:b/>
          <w:color w:val="E0651F"/>
          <w:sz w:val="36"/>
        </w:rPr>
        <w:t>Pelvic floor exercises: how to teach them</w:t>
      </w:r>
    </w:p>
    <w:p w14:paraId="6B14709D" w14:textId="77777777" w:rsidR="00C87671" w:rsidRDefault="00000000">
      <w:pPr>
        <w:spacing w:after="100"/>
      </w:pPr>
      <w:r>
        <w:rPr>
          <w:color w:val="222222"/>
        </w:rPr>
        <w:t>Supervised pelvic floor muscle training is first-line for stress incontinence and should continue for at least 3 months.</w:t>
      </w:r>
    </w:p>
    <w:p w14:paraId="0A312C00" w14:textId="77777777" w:rsidR="00C87671" w:rsidRDefault="00000000">
      <w:pPr>
        <w:spacing w:after="60" w:line="264" w:lineRule="auto"/>
        <w:ind w:left="340" w:hanging="227"/>
      </w:pPr>
      <w:r>
        <w:rPr>
          <w:color w:val="333333"/>
        </w:rPr>
        <w:t>• Explain the correct muscle action: “squeeze and lift around the front and back passages as if stopping wind and urine, without clenching buttocks or holding breath.”</w:t>
      </w:r>
    </w:p>
    <w:p w14:paraId="1B71C44F" w14:textId="77777777" w:rsidR="00C87671" w:rsidRDefault="00000000">
      <w:pPr>
        <w:spacing w:after="60" w:line="264" w:lineRule="auto"/>
        <w:ind w:left="340" w:hanging="227"/>
      </w:pPr>
      <w:r>
        <w:rPr>
          <w:color w:val="333333"/>
        </w:rPr>
        <w:t>• Check technique if possible, especially when symptoms persist or the patient is unsure they are doing the exercise correctly.</w:t>
      </w:r>
    </w:p>
    <w:p w14:paraId="7684C909" w14:textId="77777777" w:rsidR="00C87671" w:rsidRDefault="00000000">
      <w:pPr>
        <w:spacing w:after="60" w:line="264" w:lineRule="auto"/>
        <w:ind w:left="340" w:hanging="227"/>
      </w:pPr>
      <w:r>
        <w:rPr>
          <w:color w:val="333333"/>
        </w:rPr>
        <w:t>• Advise regular daily practice using both quick contractions and longer holds.</w:t>
      </w:r>
    </w:p>
    <w:p w14:paraId="5F216344" w14:textId="77777777" w:rsidR="00C87671" w:rsidRDefault="00000000">
      <w:pPr>
        <w:spacing w:after="60" w:line="264" w:lineRule="auto"/>
        <w:ind w:left="340" w:hanging="227"/>
      </w:pPr>
      <w:r>
        <w:rPr>
          <w:color w:val="333333"/>
        </w:rPr>
        <w:t>• Link exercises to routines such as after brushing teeth or at meal times to improve adherence.</w:t>
      </w:r>
    </w:p>
    <w:p w14:paraId="1EEA116E" w14:textId="77777777" w:rsidR="00C87671" w:rsidRDefault="00000000">
      <w:pPr>
        <w:spacing w:after="60" w:line="264" w:lineRule="auto"/>
        <w:ind w:left="340" w:hanging="227"/>
      </w:pPr>
      <w:r>
        <w:rPr>
          <w:color w:val="333333"/>
        </w:rPr>
        <w:t>• Consider referral for supervised pelvic floor training where available.</w:t>
      </w:r>
    </w:p>
    <w:p w14:paraId="14AB67C1" w14:textId="77777777" w:rsidR="00C87671" w:rsidRDefault="00000000">
      <w:pPr>
        <w:spacing w:before="200" w:after="120" w:line="240" w:lineRule="auto"/>
      </w:pPr>
      <w:r>
        <w:rPr>
          <w:b/>
          <w:color w:val="E0651F"/>
          <w:sz w:val="36"/>
        </w:rPr>
        <w:lastRenderedPageBreak/>
        <w:t>Top Tip 5: Medication for overactive bladder — updated prescribing guidance</w:t>
      </w:r>
    </w:p>
    <w:p w14:paraId="0EB812D6" w14:textId="77777777" w:rsidR="00C87671" w:rsidRDefault="00000000">
      <w:pPr>
        <w:spacing w:after="120"/>
      </w:pPr>
      <w:r>
        <w:rPr>
          <w:color w:val="222222"/>
        </w:rPr>
        <w:t>Medication should follow a full holistic assessment and should usually come after appropriate conservative measures such as bladder retraining. Review benefit after 4–6 weeks.</w:t>
      </w:r>
    </w:p>
    <w:tbl>
      <w:tblPr>
        <w:tblStyle w:val="TableGrid"/>
        <w:tblW w:w="0" w:type="auto"/>
        <w:jc w:val="center"/>
        <w:tblLook w:val="04A0" w:firstRow="1" w:lastRow="0" w:firstColumn="1" w:lastColumn="0" w:noHBand="0" w:noVBand="1"/>
      </w:tblPr>
      <w:tblGrid>
        <w:gridCol w:w="4989"/>
        <w:gridCol w:w="4989"/>
      </w:tblGrid>
      <w:tr w:rsidR="00C87671" w14:paraId="214ADEDB" w14:textId="77777777">
        <w:trPr>
          <w:jc w:val="center"/>
        </w:trPr>
        <w:tc>
          <w:tcPr>
            <w:tcW w:w="4989" w:type="dxa"/>
            <w:shd w:val="clear" w:color="auto" w:fill="E0651F"/>
            <w:vAlign w:val="center"/>
          </w:tcPr>
          <w:p w14:paraId="46B7464D" w14:textId="77777777" w:rsidR="00C87671" w:rsidRDefault="00000000">
            <w:pPr>
              <w:spacing w:before="40" w:after="40"/>
              <w:jc w:val="center"/>
            </w:pPr>
            <w:r>
              <w:rPr>
                <w:b/>
                <w:color w:val="FFFFFF"/>
              </w:rPr>
              <w:t>Drug option</w:t>
            </w:r>
          </w:p>
        </w:tc>
        <w:tc>
          <w:tcPr>
            <w:tcW w:w="4989" w:type="dxa"/>
            <w:shd w:val="clear" w:color="auto" w:fill="E0651F"/>
            <w:vAlign w:val="center"/>
          </w:tcPr>
          <w:p w14:paraId="0010D869" w14:textId="77777777" w:rsidR="00C87671" w:rsidRDefault="00000000">
            <w:pPr>
              <w:spacing w:before="40" w:after="40"/>
              <w:jc w:val="center"/>
            </w:pPr>
            <w:r>
              <w:rPr>
                <w:b/>
                <w:color w:val="FFFFFF"/>
              </w:rPr>
              <w:t>Key prescribing points</w:t>
            </w:r>
          </w:p>
        </w:tc>
      </w:tr>
      <w:tr w:rsidR="00C87671" w14:paraId="5DCF7A71" w14:textId="77777777">
        <w:trPr>
          <w:jc w:val="center"/>
        </w:trPr>
        <w:tc>
          <w:tcPr>
            <w:tcW w:w="4989" w:type="dxa"/>
            <w:vAlign w:val="center"/>
          </w:tcPr>
          <w:p w14:paraId="50543F91" w14:textId="77777777" w:rsidR="00C87671" w:rsidRDefault="00000000">
            <w:pPr>
              <w:spacing w:before="40" w:after="40" w:line="252" w:lineRule="auto"/>
            </w:pPr>
            <w:r>
              <w:rPr>
                <w:b/>
                <w:color w:val="2C2C2C"/>
                <w:sz w:val="21"/>
              </w:rPr>
              <w:t>Oxybutynin immediate release 5 mg TDS</w:t>
            </w:r>
          </w:p>
        </w:tc>
        <w:tc>
          <w:tcPr>
            <w:tcW w:w="4989" w:type="dxa"/>
            <w:vAlign w:val="center"/>
          </w:tcPr>
          <w:p w14:paraId="4B177425" w14:textId="77777777" w:rsidR="00C87671" w:rsidRDefault="00000000">
            <w:pPr>
              <w:spacing w:before="40" w:after="40" w:line="252" w:lineRule="auto"/>
            </w:pPr>
            <w:r>
              <w:rPr>
                <w:color w:val="2C2C2C"/>
                <w:sz w:val="21"/>
              </w:rPr>
              <w:t>Effective older antimuscarinic, but avoid in older adults where possible because of high anticholinergic burden and cognitive adverse effects.</w:t>
            </w:r>
          </w:p>
        </w:tc>
      </w:tr>
      <w:tr w:rsidR="00C87671" w14:paraId="47CD21EF" w14:textId="77777777">
        <w:trPr>
          <w:jc w:val="center"/>
        </w:trPr>
        <w:tc>
          <w:tcPr>
            <w:tcW w:w="4989" w:type="dxa"/>
            <w:vAlign w:val="center"/>
          </w:tcPr>
          <w:p w14:paraId="7B993A6E" w14:textId="77777777" w:rsidR="00C87671" w:rsidRDefault="00000000">
            <w:pPr>
              <w:spacing w:before="40" w:after="40" w:line="252" w:lineRule="auto"/>
            </w:pPr>
            <w:r>
              <w:rPr>
                <w:b/>
                <w:color w:val="2C2C2C"/>
                <w:sz w:val="21"/>
              </w:rPr>
              <w:t>Tolterodine MR 4 mg OD</w:t>
            </w:r>
          </w:p>
        </w:tc>
        <w:tc>
          <w:tcPr>
            <w:tcW w:w="4989" w:type="dxa"/>
            <w:vAlign w:val="center"/>
          </w:tcPr>
          <w:p w14:paraId="4063980E" w14:textId="77777777" w:rsidR="00C87671" w:rsidRDefault="00000000">
            <w:pPr>
              <w:spacing w:before="40" w:after="40" w:line="252" w:lineRule="auto"/>
            </w:pPr>
            <w:r>
              <w:rPr>
                <w:color w:val="2C2C2C"/>
                <w:sz w:val="21"/>
              </w:rPr>
              <w:t>Reasonable antimuscarinic option; monitor typical anticholinergic adverse effects.</w:t>
            </w:r>
          </w:p>
        </w:tc>
      </w:tr>
      <w:tr w:rsidR="00C87671" w14:paraId="7849A1E5" w14:textId="77777777">
        <w:trPr>
          <w:jc w:val="center"/>
        </w:trPr>
        <w:tc>
          <w:tcPr>
            <w:tcW w:w="4989" w:type="dxa"/>
            <w:vAlign w:val="center"/>
          </w:tcPr>
          <w:p w14:paraId="239BA74A" w14:textId="77777777" w:rsidR="00C87671" w:rsidRDefault="00000000">
            <w:pPr>
              <w:spacing w:before="40" w:after="40" w:line="252" w:lineRule="auto"/>
            </w:pPr>
            <w:r>
              <w:rPr>
                <w:b/>
                <w:color w:val="2C2C2C"/>
                <w:sz w:val="21"/>
              </w:rPr>
              <w:t>Solifenacin 5–10 mg OD</w:t>
            </w:r>
          </w:p>
        </w:tc>
        <w:tc>
          <w:tcPr>
            <w:tcW w:w="4989" w:type="dxa"/>
            <w:vAlign w:val="center"/>
          </w:tcPr>
          <w:p w14:paraId="256D9714" w14:textId="77777777" w:rsidR="00C87671" w:rsidRDefault="00000000">
            <w:pPr>
              <w:spacing w:before="40" w:after="40" w:line="252" w:lineRule="auto"/>
            </w:pPr>
            <w:r>
              <w:rPr>
                <w:color w:val="2C2C2C"/>
                <w:sz w:val="21"/>
              </w:rPr>
              <w:t>Useful once-daily option; watch for dry mouth, constipation and blurred vision.</w:t>
            </w:r>
          </w:p>
        </w:tc>
      </w:tr>
      <w:tr w:rsidR="00C87671" w14:paraId="592696BA" w14:textId="77777777">
        <w:trPr>
          <w:jc w:val="center"/>
        </w:trPr>
        <w:tc>
          <w:tcPr>
            <w:tcW w:w="4989" w:type="dxa"/>
            <w:vAlign w:val="center"/>
          </w:tcPr>
          <w:p w14:paraId="3BD4C0E8" w14:textId="77777777" w:rsidR="00C87671" w:rsidRDefault="00000000">
            <w:pPr>
              <w:spacing w:before="40" w:after="40" w:line="252" w:lineRule="auto"/>
            </w:pPr>
            <w:r>
              <w:rPr>
                <w:b/>
                <w:color w:val="2C2C2C"/>
                <w:sz w:val="21"/>
              </w:rPr>
              <w:t>Darifenacin 7.5–15 mg OD</w:t>
            </w:r>
          </w:p>
        </w:tc>
        <w:tc>
          <w:tcPr>
            <w:tcW w:w="4989" w:type="dxa"/>
            <w:vAlign w:val="center"/>
          </w:tcPr>
          <w:p w14:paraId="6BF961B7" w14:textId="77777777" w:rsidR="00C87671" w:rsidRDefault="00000000">
            <w:pPr>
              <w:spacing w:before="40" w:after="40" w:line="252" w:lineRule="auto"/>
            </w:pPr>
            <w:r>
              <w:rPr>
                <w:color w:val="2C2C2C"/>
                <w:sz w:val="21"/>
              </w:rPr>
              <w:t>Antimuscarinic option when tolerated; review response and side effects.</w:t>
            </w:r>
          </w:p>
        </w:tc>
      </w:tr>
      <w:tr w:rsidR="00C87671" w14:paraId="71DDD47F" w14:textId="77777777">
        <w:trPr>
          <w:jc w:val="center"/>
        </w:trPr>
        <w:tc>
          <w:tcPr>
            <w:tcW w:w="4989" w:type="dxa"/>
            <w:vAlign w:val="center"/>
          </w:tcPr>
          <w:p w14:paraId="3871311E" w14:textId="77777777" w:rsidR="00C87671" w:rsidRDefault="00000000">
            <w:pPr>
              <w:spacing w:before="40" w:after="40" w:line="252" w:lineRule="auto"/>
            </w:pPr>
            <w:r>
              <w:rPr>
                <w:b/>
                <w:color w:val="2C2C2C"/>
                <w:sz w:val="21"/>
              </w:rPr>
              <w:t>Trospium 20 mg BD</w:t>
            </w:r>
          </w:p>
        </w:tc>
        <w:tc>
          <w:tcPr>
            <w:tcW w:w="4989" w:type="dxa"/>
            <w:vAlign w:val="center"/>
          </w:tcPr>
          <w:p w14:paraId="697613AD" w14:textId="77777777" w:rsidR="00C87671" w:rsidRDefault="00000000">
            <w:pPr>
              <w:spacing w:before="40" w:after="40" w:line="252" w:lineRule="auto"/>
            </w:pPr>
            <w:r>
              <w:rPr>
                <w:color w:val="2C2C2C"/>
                <w:sz w:val="21"/>
              </w:rPr>
              <w:t>Preferred antimuscarinic where cognitive decline is a concern because it has minimal central nervous system penetration.</w:t>
            </w:r>
          </w:p>
        </w:tc>
      </w:tr>
      <w:tr w:rsidR="00C87671" w14:paraId="53AD6912" w14:textId="77777777">
        <w:trPr>
          <w:jc w:val="center"/>
        </w:trPr>
        <w:tc>
          <w:tcPr>
            <w:tcW w:w="4989" w:type="dxa"/>
            <w:vAlign w:val="center"/>
          </w:tcPr>
          <w:p w14:paraId="662E079E" w14:textId="77777777" w:rsidR="00C87671" w:rsidRDefault="00000000">
            <w:pPr>
              <w:spacing w:before="40" w:after="40" w:line="252" w:lineRule="auto"/>
            </w:pPr>
            <w:r>
              <w:rPr>
                <w:b/>
                <w:color w:val="2C2C2C"/>
                <w:sz w:val="21"/>
              </w:rPr>
              <w:t>Mirabegron 50 mg OD</w:t>
            </w:r>
          </w:p>
        </w:tc>
        <w:tc>
          <w:tcPr>
            <w:tcW w:w="4989" w:type="dxa"/>
            <w:vAlign w:val="center"/>
          </w:tcPr>
          <w:p w14:paraId="0EE71F6E" w14:textId="77777777" w:rsidR="00C87671" w:rsidRDefault="00000000">
            <w:pPr>
              <w:spacing w:before="40" w:after="40" w:line="252" w:lineRule="auto"/>
            </w:pPr>
            <w:r>
              <w:rPr>
                <w:color w:val="2C2C2C"/>
                <w:sz w:val="21"/>
              </w:rPr>
              <w:t>Beta-3 agonist with fewer anticholinergic effects; preferred in many older patients or those at risk of cognitive impairment. Use 25 mg if eGFR 15–45 or severe hepatic impairment; check blood pressure before starting and avoid in uncontrolled hypertension.</w:t>
            </w:r>
          </w:p>
        </w:tc>
      </w:tr>
    </w:tbl>
    <w:p w14:paraId="3EA4B487" w14:textId="77777777" w:rsidR="00C87671" w:rsidRDefault="00C87671"/>
    <w:p w14:paraId="4FAE627A" w14:textId="77777777" w:rsidR="00C87671" w:rsidRDefault="00000000">
      <w:pPr>
        <w:spacing w:before="160" w:after="80" w:line="240" w:lineRule="auto"/>
      </w:pPr>
      <w:r>
        <w:rPr>
          <w:b/>
          <w:color w:val="E0651F"/>
          <w:sz w:val="26"/>
        </w:rPr>
        <w:t>Key prescribing messages</w:t>
      </w:r>
    </w:p>
    <w:p w14:paraId="7004CE70" w14:textId="77777777" w:rsidR="00C87671" w:rsidRDefault="00000000">
      <w:pPr>
        <w:spacing w:after="60" w:line="264" w:lineRule="auto"/>
        <w:ind w:left="340" w:hanging="227"/>
      </w:pPr>
      <w:r>
        <w:rPr>
          <w:color w:val="333333"/>
        </w:rPr>
        <w:t>• MHRA safety advice (2023) highlighted concern about cumulative antimuscarinic burden and possible increased dementia risk with long-term use in older people.</w:t>
      </w:r>
    </w:p>
    <w:p w14:paraId="0370A304" w14:textId="77777777" w:rsidR="00C87671" w:rsidRDefault="00000000">
      <w:pPr>
        <w:spacing w:after="60" w:line="264" w:lineRule="auto"/>
        <w:ind w:left="340" w:hanging="227"/>
      </w:pPr>
      <w:r>
        <w:rPr>
          <w:color w:val="333333"/>
        </w:rPr>
        <w:t>• Avoid oxybutynin immediate-release in older adults where possible.</w:t>
      </w:r>
    </w:p>
    <w:p w14:paraId="132A7B8A" w14:textId="77777777" w:rsidR="00C87671" w:rsidRDefault="00000000">
      <w:pPr>
        <w:spacing w:after="60" w:line="264" w:lineRule="auto"/>
        <w:ind w:left="340" w:hanging="227"/>
      </w:pPr>
      <w:r>
        <w:rPr>
          <w:color w:val="333333"/>
        </w:rPr>
        <w:t>• Mirabegron is often the preferred option in elderly patients or those at risk of cognitive impairment because it avoids anticholinergic adverse effects.</w:t>
      </w:r>
    </w:p>
    <w:p w14:paraId="5FD2219E" w14:textId="77777777" w:rsidR="00C87671" w:rsidRDefault="00000000">
      <w:pPr>
        <w:spacing w:after="60" w:line="264" w:lineRule="auto"/>
        <w:ind w:left="340" w:hanging="227"/>
      </w:pPr>
      <w:r>
        <w:rPr>
          <w:color w:val="333333"/>
        </w:rPr>
        <w:t>• Trospium remains a sensible antimuscarinic if cognitive decline is a concern and an antimuscarinic is needed.</w:t>
      </w:r>
    </w:p>
    <w:p w14:paraId="1B6084FD" w14:textId="77777777" w:rsidR="00C87671" w:rsidRDefault="00000000">
      <w:pPr>
        <w:spacing w:after="60" w:line="264" w:lineRule="auto"/>
        <w:ind w:left="340" w:hanging="227"/>
      </w:pPr>
      <w:r>
        <w:rPr>
          <w:color w:val="333333"/>
        </w:rPr>
        <w:t>• Check for constipation, dry mouth, urinary retention, falls risk and polypharmacy before prescribing.</w:t>
      </w:r>
    </w:p>
    <w:p w14:paraId="60DAA889" w14:textId="77777777" w:rsidR="00C87671" w:rsidRDefault="00000000">
      <w:pPr>
        <w:spacing w:after="60" w:line="264" w:lineRule="auto"/>
        <w:ind w:left="340" w:hanging="227"/>
      </w:pPr>
      <w:r>
        <w:rPr>
          <w:color w:val="333333"/>
        </w:rPr>
        <w:t>• Duloxetine 40 mg twice daily may be considered for stress urinary incontinence if surgery is not appropriate, but nausea is common and it should be stopped gradually.</w:t>
      </w:r>
    </w:p>
    <w:p w14:paraId="3F808CAD" w14:textId="77777777" w:rsidR="00C87671" w:rsidRDefault="00000000">
      <w:pPr>
        <w:spacing w:before="200" w:after="120" w:line="240" w:lineRule="auto"/>
      </w:pPr>
      <w:r>
        <w:rPr>
          <w:b/>
          <w:color w:val="E0651F"/>
          <w:sz w:val="36"/>
        </w:rPr>
        <w:t>Top Tip 6: Containment products — last resort, not first line</w:t>
      </w:r>
    </w:p>
    <w:p w14:paraId="41A19AD2" w14:textId="77777777" w:rsidR="00C87671" w:rsidRDefault="00000000">
      <w:pPr>
        <w:spacing w:after="100"/>
      </w:pPr>
      <w:r>
        <w:rPr>
          <w:color w:val="222222"/>
        </w:rPr>
        <w:t>Containment products can be useful, but they should not replace proper assessment and treatment. Adults with urinary or faecal continence problems should have the opportunity for assessment and active treatment before long-term containment is implemented.</w:t>
      </w:r>
    </w:p>
    <w:p w14:paraId="6FBD3930" w14:textId="77777777" w:rsidR="00C87671" w:rsidRDefault="00000000">
      <w:pPr>
        <w:spacing w:after="60" w:line="264" w:lineRule="auto"/>
        <w:ind w:left="340" w:hanging="227"/>
      </w:pPr>
      <w:r>
        <w:rPr>
          <w:color w:val="333333"/>
        </w:rPr>
        <w:t>• Prescribe only when there is a valid clinical need.</w:t>
      </w:r>
    </w:p>
    <w:p w14:paraId="4947CA8B" w14:textId="77777777" w:rsidR="00C87671" w:rsidRDefault="00000000">
      <w:pPr>
        <w:spacing w:after="60" w:line="264" w:lineRule="auto"/>
        <w:ind w:left="340" w:hanging="227"/>
      </w:pPr>
      <w:r>
        <w:rPr>
          <w:color w:val="333333"/>
        </w:rPr>
        <w:t>• Do not default to pads for new, potentially reversible, or short-term incontinence.</w:t>
      </w:r>
    </w:p>
    <w:p w14:paraId="623203BF" w14:textId="77777777" w:rsidR="00C87671" w:rsidRDefault="00000000">
      <w:pPr>
        <w:spacing w:after="60" w:line="264" w:lineRule="auto"/>
        <w:ind w:left="340" w:hanging="227"/>
      </w:pPr>
      <w:r>
        <w:rPr>
          <w:color w:val="333333"/>
        </w:rPr>
        <w:t>• In frailty, dementia or learning disability, still consider treatment opportunities rather than assuming containment is the only option.</w:t>
      </w:r>
    </w:p>
    <w:p w14:paraId="33C69AA4" w14:textId="77777777" w:rsidR="00C87671" w:rsidRDefault="00000000">
      <w:pPr>
        <w:spacing w:after="60" w:line="264" w:lineRule="auto"/>
        <w:ind w:left="340" w:hanging="227"/>
      </w:pPr>
      <w:r>
        <w:rPr>
          <w:color w:val="333333"/>
        </w:rPr>
        <w:t>• Review skin care, dignity, mobility and carer burden if products are being used.</w:t>
      </w:r>
    </w:p>
    <w:p w14:paraId="652760C4" w14:textId="77777777" w:rsidR="00C87671" w:rsidRDefault="00000000">
      <w:pPr>
        <w:spacing w:before="200" w:after="120" w:line="240" w:lineRule="auto"/>
      </w:pPr>
      <w:r>
        <w:rPr>
          <w:b/>
          <w:color w:val="E0651F"/>
          <w:sz w:val="36"/>
        </w:rPr>
        <w:lastRenderedPageBreak/>
        <w:t>Bowel / faecal incontinence: brief note</w:t>
      </w:r>
    </w:p>
    <w:p w14:paraId="32B81B37" w14:textId="77777777" w:rsidR="00C87671" w:rsidRDefault="00000000">
      <w:pPr>
        <w:spacing w:after="160"/>
      </w:pPr>
      <w:r>
        <w:rPr>
          <w:color w:val="222222"/>
        </w:rPr>
        <w:t>Always ask about bowel symptoms. Faecal incontinence, constipation with overflow, diarrhoea, or change in bowel habit can worsen urinary symptoms and may point to bowel disease or pelvic floor dysfunction. Refer onward if bowel pathology or specialist continence input is suspected.</w:t>
      </w:r>
    </w:p>
    <w:tbl>
      <w:tblPr>
        <w:tblW w:w="0" w:type="auto"/>
        <w:jc w:val="center"/>
        <w:tblLook w:val="04A0" w:firstRow="1" w:lastRow="0" w:firstColumn="1" w:lastColumn="0" w:noHBand="0" w:noVBand="1"/>
      </w:tblPr>
      <w:tblGrid>
        <w:gridCol w:w="9978"/>
      </w:tblGrid>
      <w:tr w:rsidR="00C87671" w14:paraId="1F578749" w14:textId="77777777">
        <w:trPr>
          <w:jc w:val="center"/>
        </w:trPr>
        <w:tc>
          <w:tcPr>
            <w:tcW w:w="9978" w:type="dxa"/>
            <w:tcBorders>
              <w:top w:val="single" w:sz="12" w:space="0" w:color="6F42C1"/>
              <w:left w:val="single" w:sz="12" w:space="0" w:color="6F42C1"/>
              <w:bottom w:val="single" w:sz="12" w:space="0" w:color="6F42C1"/>
              <w:right w:val="single" w:sz="12" w:space="0" w:color="6F42C1"/>
            </w:tcBorders>
            <w:shd w:val="clear" w:color="auto" w:fill="6F42C1"/>
          </w:tcPr>
          <w:p w14:paraId="5BF8E8EB" w14:textId="77777777" w:rsidR="00C87671" w:rsidRDefault="00000000">
            <w:pPr>
              <w:spacing w:before="120" w:after="80" w:line="240" w:lineRule="auto"/>
            </w:pPr>
            <w:r>
              <w:rPr>
                <w:b/>
                <w:color w:val="FFFFFF"/>
                <w:sz w:val="26"/>
              </w:rPr>
              <w:t>AKT exam tips</w:t>
            </w:r>
          </w:p>
          <w:p w14:paraId="770C5456" w14:textId="77777777" w:rsidR="00C87671" w:rsidRDefault="00000000">
            <w:pPr>
              <w:spacing w:after="40" w:line="252" w:lineRule="auto"/>
              <w:ind w:left="283" w:hanging="198"/>
            </w:pPr>
            <w:r>
              <w:rPr>
                <w:color w:val="FFFFFF"/>
                <w:sz w:val="21"/>
              </w:rPr>
              <w:t>• For overactive bladder, start with bladder training for a minimum of 6 weeks before judging failure.</w:t>
            </w:r>
          </w:p>
          <w:p w14:paraId="2F0C66B2" w14:textId="77777777" w:rsidR="00C87671" w:rsidRDefault="00000000">
            <w:pPr>
              <w:spacing w:after="40" w:line="252" w:lineRule="auto"/>
              <w:ind w:left="283" w:hanging="198"/>
            </w:pPr>
            <w:r>
              <w:rPr>
                <w:color w:val="FFFFFF"/>
                <w:sz w:val="21"/>
              </w:rPr>
              <w:t>• For stress incontinence, pelvic floor muscle training should be supervised where possible and continue for at least 3 months.</w:t>
            </w:r>
          </w:p>
          <w:p w14:paraId="09CC9375" w14:textId="77777777" w:rsidR="00C87671" w:rsidRDefault="00000000">
            <w:pPr>
              <w:spacing w:after="40" w:line="252" w:lineRule="auto"/>
              <w:ind w:left="283" w:hanging="198"/>
            </w:pPr>
            <w:r>
              <w:rPr>
                <w:color w:val="FFFFFF"/>
                <w:sz w:val="21"/>
              </w:rPr>
              <w:t>• For mixed incontinence, treat the predominant symptom first.</w:t>
            </w:r>
          </w:p>
          <w:p w14:paraId="0841AC59" w14:textId="77777777" w:rsidR="00C87671" w:rsidRDefault="00000000">
            <w:pPr>
              <w:spacing w:after="40" w:line="252" w:lineRule="auto"/>
              <w:ind w:left="283" w:hanging="198"/>
            </w:pPr>
            <w:r>
              <w:rPr>
                <w:color w:val="FFFFFF"/>
                <w:sz w:val="21"/>
              </w:rPr>
              <w:t>• In older adults, avoid oxybutynin immediate-release where possible because of anticholinergic burden.</w:t>
            </w:r>
          </w:p>
          <w:p w14:paraId="5A7D98B0" w14:textId="77777777" w:rsidR="00C87671" w:rsidRDefault="00000000">
            <w:pPr>
              <w:spacing w:after="40" w:line="252" w:lineRule="auto"/>
              <w:ind w:left="283" w:hanging="198"/>
            </w:pPr>
            <w:r>
              <w:rPr>
                <w:color w:val="FFFFFF"/>
                <w:sz w:val="21"/>
              </w:rPr>
              <w:t>• Mirabegron is useful when antimuscarinic side effects or cognitive concerns are an issue.</w:t>
            </w:r>
          </w:p>
        </w:tc>
      </w:tr>
    </w:tbl>
    <w:p w14:paraId="7BEDABD8" w14:textId="77777777" w:rsidR="00C87671" w:rsidRDefault="00C87671"/>
    <w:tbl>
      <w:tblPr>
        <w:tblW w:w="0" w:type="auto"/>
        <w:jc w:val="center"/>
        <w:tblLook w:val="04A0" w:firstRow="1" w:lastRow="0" w:firstColumn="1" w:lastColumn="0" w:noHBand="0" w:noVBand="1"/>
      </w:tblPr>
      <w:tblGrid>
        <w:gridCol w:w="9978"/>
      </w:tblGrid>
      <w:tr w:rsidR="00C87671" w14:paraId="635DDAA0" w14:textId="77777777">
        <w:trPr>
          <w:jc w:val="center"/>
        </w:trPr>
        <w:tc>
          <w:tcPr>
            <w:tcW w:w="9978" w:type="dxa"/>
            <w:tcBorders>
              <w:top w:val="single" w:sz="12" w:space="0" w:color="138D90"/>
              <w:left w:val="single" w:sz="12" w:space="0" w:color="138D90"/>
              <w:bottom w:val="single" w:sz="12" w:space="0" w:color="138D90"/>
              <w:right w:val="single" w:sz="12" w:space="0" w:color="138D90"/>
            </w:tcBorders>
            <w:shd w:val="clear" w:color="auto" w:fill="138D90"/>
          </w:tcPr>
          <w:p w14:paraId="67E683BD" w14:textId="77777777" w:rsidR="00C87671" w:rsidRDefault="00000000">
            <w:pPr>
              <w:spacing w:before="120" w:after="80" w:line="240" w:lineRule="auto"/>
            </w:pPr>
            <w:r>
              <w:rPr>
                <w:b/>
                <w:color w:val="FFFFFF"/>
                <w:sz w:val="26"/>
              </w:rPr>
              <w:t>SCA tips: useful consultation phrases</w:t>
            </w:r>
          </w:p>
          <w:p w14:paraId="1158D6AF" w14:textId="77777777" w:rsidR="00C87671" w:rsidRDefault="00000000">
            <w:pPr>
              <w:spacing w:after="40" w:line="252" w:lineRule="auto"/>
              <w:ind w:left="283" w:hanging="198"/>
            </w:pPr>
            <w:r>
              <w:rPr>
                <w:color w:val="FFFFFF"/>
                <w:sz w:val="21"/>
              </w:rPr>
              <w:t>• “The first step is to work out what type of leakage you have, because the treatment depends on the pattern.”</w:t>
            </w:r>
          </w:p>
          <w:p w14:paraId="1830B611" w14:textId="77777777" w:rsidR="00C87671" w:rsidRDefault="00000000">
            <w:pPr>
              <w:spacing w:after="40" w:line="252" w:lineRule="auto"/>
              <w:ind w:left="283" w:hanging="198"/>
            </w:pPr>
            <w:r>
              <w:rPr>
                <w:color w:val="FFFFFF"/>
                <w:sz w:val="21"/>
              </w:rPr>
              <w:t>• “Most bladder problems improve with a combination of practical changes, not just tablets.”</w:t>
            </w:r>
          </w:p>
          <w:p w14:paraId="1FC57063" w14:textId="77777777" w:rsidR="00C87671" w:rsidRDefault="00000000">
            <w:pPr>
              <w:spacing w:after="40" w:line="252" w:lineRule="auto"/>
              <w:ind w:left="283" w:hanging="198"/>
            </w:pPr>
            <w:r>
              <w:rPr>
                <w:color w:val="FFFFFF"/>
                <w:sz w:val="21"/>
              </w:rPr>
              <w:t>• “Pads can help, but they are not the main treatment unless we have already assessed the cause.”</w:t>
            </w:r>
          </w:p>
          <w:p w14:paraId="74754101" w14:textId="77777777" w:rsidR="00C87671" w:rsidRDefault="00000000">
            <w:pPr>
              <w:spacing w:after="40" w:line="252" w:lineRule="auto"/>
              <w:ind w:left="283" w:hanging="198"/>
            </w:pPr>
            <w:r>
              <w:rPr>
                <w:color w:val="FFFFFF"/>
                <w:sz w:val="21"/>
              </w:rPr>
              <w:t>• “Because some bladder tablets can affect memory and cause dry mouth or constipation, I want to choose the safest option for you.”</w:t>
            </w:r>
          </w:p>
          <w:p w14:paraId="514BC8A9" w14:textId="77777777" w:rsidR="00C87671" w:rsidRDefault="00000000">
            <w:pPr>
              <w:spacing w:after="40" w:line="252" w:lineRule="auto"/>
              <w:ind w:left="283" w:hanging="198"/>
            </w:pPr>
            <w:r>
              <w:rPr>
                <w:color w:val="FFFFFF"/>
                <w:sz w:val="21"/>
              </w:rPr>
              <w:t>• “A bladder diary over a few days often gives us the clue we need.”</w:t>
            </w:r>
          </w:p>
        </w:tc>
      </w:tr>
    </w:tbl>
    <w:p w14:paraId="22992729" w14:textId="77777777" w:rsidR="00C87671" w:rsidRDefault="00C87671"/>
    <w:tbl>
      <w:tblPr>
        <w:tblW w:w="0" w:type="auto"/>
        <w:jc w:val="center"/>
        <w:tblLook w:val="04A0" w:firstRow="1" w:lastRow="0" w:firstColumn="1" w:lastColumn="0" w:noHBand="0" w:noVBand="1"/>
      </w:tblPr>
      <w:tblGrid>
        <w:gridCol w:w="9978"/>
      </w:tblGrid>
      <w:tr w:rsidR="00C87671" w14:paraId="57F5209A" w14:textId="77777777">
        <w:trPr>
          <w:jc w:val="center"/>
        </w:trPr>
        <w:tc>
          <w:tcPr>
            <w:tcW w:w="9978" w:type="dxa"/>
            <w:tcBorders>
              <w:top w:val="single" w:sz="12" w:space="0" w:color="C62828"/>
              <w:left w:val="single" w:sz="12" w:space="0" w:color="C62828"/>
              <w:bottom w:val="single" w:sz="12" w:space="0" w:color="C62828"/>
              <w:right w:val="single" w:sz="12" w:space="0" w:color="C62828"/>
            </w:tcBorders>
            <w:shd w:val="clear" w:color="auto" w:fill="C62828"/>
          </w:tcPr>
          <w:p w14:paraId="68800D1C" w14:textId="77777777" w:rsidR="00C87671" w:rsidRDefault="00000000">
            <w:pPr>
              <w:spacing w:before="120" w:after="80" w:line="240" w:lineRule="auto"/>
            </w:pPr>
            <w:r>
              <w:rPr>
                <w:b/>
                <w:color w:val="FFFFFF"/>
                <w:sz w:val="26"/>
              </w:rPr>
              <w:t>Red flags</w:t>
            </w:r>
          </w:p>
          <w:p w14:paraId="1383D460" w14:textId="77777777" w:rsidR="00C87671" w:rsidRDefault="00000000">
            <w:pPr>
              <w:spacing w:after="40" w:line="252" w:lineRule="auto"/>
              <w:ind w:left="283" w:hanging="198"/>
            </w:pPr>
            <w:r>
              <w:rPr>
                <w:color w:val="FFFFFF"/>
                <w:sz w:val="21"/>
              </w:rPr>
              <w:t>• Visible haematuria in adults aged 45 or over requires urgent suspected cancer referral under current NICE NG12 criteria.</w:t>
            </w:r>
          </w:p>
          <w:p w14:paraId="43771B40" w14:textId="77777777" w:rsidR="00C87671" w:rsidRDefault="00000000">
            <w:pPr>
              <w:spacing w:after="40" w:line="252" w:lineRule="auto"/>
              <w:ind w:left="283" w:hanging="198"/>
            </w:pPr>
            <w:r>
              <w:rPr>
                <w:color w:val="FFFFFF"/>
                <w:sz w:val="21"/>
              </w:rPr>
              <w:t>• Suspected neurological cause: new saddle symptoms, leg weakness, abnormal neurology, or possible spinal pathology.</w:t>
            </w:r>
          </w:p>
          <w:p w14:paraId="4B5D3ED1" w14:textId="77777777" w:rsidR="00C87671" w:rsidRDefault="00000000">
            <w:pPr>
              <w:spacing w:after="40" w:line="252" w:lineRule="auto"/>
              <w:ind w:left="283" w:hanging="198"/>
            </w:pPr>
            <w:r>
              <w:rPr>
                <w:color w:val="FFFFFF"/>
                <w:sz w:val="21"/>
              </w:rPr>
              <w:t>• Voiding dysfunction, retention or very high post-void residual.</w:t>
            </w:r>
          </w:p>
          <w:p w14:paraId="533FA63A" w14:textId="77777777" w:rsidR="00C87671" w:rsidRDefault="00000000">
            <w:pPr>
              <w:spacing w:after="40" w:line="252" w:lineRule="auto"/>
              <w:ind w:left="283" w:hanging="198"/>
            </w:pPr>
            <w:r>
              <w:rPr>
                <w:color w:val="FFFFFF"/>
                <w:sz w:val="21"/>
              </w:rPr>
              <w:t>• Recurrent urinary tract infections, especially with unclear cause.</w:t>
            </w:r>
          </w:p>
          <w:p w14:paraId="4BD8D1CA" w14:textId="77777777" w:rsidR="00C87671" w:rsidRDefault="00000000">
            <w:pPr>
              <w:spacing w:after="40" w:line="252" w:lineRule="auto"/>
              <w:ind w:left="283" w:hanging="198"/>
            </w:pPr>
            <w:r>
              <w:rPr>
                <w:color w:val="FFFFFF"/>
                <w:sz w:val="21"/>
              </w:rPr>
              <w:t>• Significant pelvic organ prolapse, pain, or unclear diagnosis.</w:t>
            </w:r>
          </w:p>
        </w:tc>
      </w:tr>
    </w:tbl>
    <w:p w14:paraId="71F09533" w14:textId="77777777" w:rsidR="00C87671" w:rsidRDefault="00C87671"/>
    <w:tbl>
      <w:tblPr>
        <w:tblW w:w="0" w:type="auto"/>
        <w:jc w:val="center"/>
        <w:tblLook w:val="04A0" w:firstRow="1" w:lastRow="0" w:firstColumn="1" w:lastColumn="0" w:noHBand="0" w:noVBand="1"/>
      </w:tblPr>
      <w:tblGrid>
        <w:gridCol w:w="9978"/>
      </w:tblGrid>
      <w:tr w:rsidR="00C87671" w14:paraId="5362F843" w14:textId="77777777">
        <w:trPr>
          <w:jc w:val="center"/>
        </w:trPr>
        <w:tc>
          <w:tcPr>
            <w:tcW w:w="9978" w:type="dxa"/>
            <w:tcBorders>
              <w:top w:val="single" w:sz="12" w:space="0" w:color="D18B00"/>
              <w:left w:val="single" w:sz="12" w:space="0" w:color="D18B00"/>
              <w:bottom w:val="single" w:sz="12" w:space="0" w:color="D18B00"/>
              <w:right w:val="single" w:sz="12" w:space="0" w:color="D18B00"/>
            </w:tcBorders>
            <w:shd w:val="clear" w:color="auto" w:fill="D18B00"/>
          </w:tcPr>
          <w:p w14:paraId="3598BCE4" w14:textId="77777777" w:rsidR="00C87671" w:rsidRDefault="00000000">
            <w:pPr>
              <w:spacing w:before="120" w:after="80" w:line="240" w:lineRule="auto"/>
            </w:pPr>
            <w:r>
              <w:rPr>
                <w:b/>
                <w:color w:val="FFFFFF"/>
                <w:sz w:val="26"/>
              </w:rPr>
              <w:t>Common pitfalls</w:t>
            </w:r>
          </w:p>
          <w:p w14:paraId="3F9337F1" w14:textId="77777777" w:rsidR="00C87671" w:rsidRDefault="00000000">
            <w:pPr>
              <w:spacing w:after="40" w:line="252" w:lineRule="auto"/>
              <w:ind w:left="283" w:hanging="198"/>
            </w:pPr>
            <w:r>
              <w:rPr>
                <w:color w:val="FFFFFF"/>
                <w:sz w:val="21"/>
              </w:rPr>
              <w:t>• Prescribing before identifying the type of incontinence.</w:t>
            </w:r>
          </w:p>
          <w:p w14:paraId="0DD5EC79" w14:textId="77777777" w:rsidR="00C87671" w:rsidRDefault="00000000">
            <w:pPr>
              <w:spacing w:after="40" w:line="252" w:lineRule="auto"/>
              <w:ind w:left="283" w:hanging="198"/>
            </w:pPr>
            <w:r>
              <w:rPr>
                <w:color w:val="FFFFFF"/>
                <w:sz w:val="21"/>
              </w:rPr>
              <w:t>• Missing constipation, fluid timing or caffeine excess as reversible causes.</w:t>
            </w:r>
          </w:p>
          <w:p w14:paraId="62DDA237" w14:textId="77777777" w:rsidR="00C87671" w:rsidRDefault="00000000">
            <w:pPr>
              <w:spacing w:after="40" w:line="252" w:lineRule="auto"/>
              <w:ind w:left="283" w:hanging="198"/>
            </w:pPr>
            <w:r>
              <w:rPr>
                <w:color w:val="FFFFFF"/>
                <w:sz w:val="21"/>
              </w:rPr>
              <w:t>• Treating every older patient with oxybutynin despite cognitive and anticholinergic risk.</w:t>
            </w:r>
          </w:p>
          <w:p w14:paraId="6BA50406" w14:textId="77777777" w:rsidR="00C87671" w:rsidRDefault="00000000">
            <w:pPr>
              <w:spacing w:after="40" w:line="252" w:lineRule="auto"/>
              <w:ind w:left="283" w:hanging="198"/>
            </w:pPr>
            <w:r>
              <w:rPr>
                <w:color w:val="FFFFFF"/>
                <w:sz w:val="21"/>
              </w:rPr>
              <w:t>• Using pads as a first-line solution without assessment.</w:t>
            </w:r>
          </w:p>
          <w:p w14:paraId="34985789" w14:textId="77777777" w:rsidR="00C87671" w:rsidRDefault="00000000">
            <w:pPr>
              <w:spacing w:after="40" w:line="252" w:lineRule="auto"/>
              <w:ind w:left="283" w:hanging="198"/>
            </w:pPr>
            <w:r>
              <w:rPr>
                <w:color w:val="FFFFFF"/>
                <w:sz w:val="21"/>
              </w:rPr>
              <w:t>• Failing to explain that behavioural treatment takes weeks, not days, to work.</w:t>
            </w:r>
          </w:p>
        </w:tc>
      </w:tr>
    </w:tbl>
    <w:p w14:paraId="16DB05D9" w14:textId="77777777" w:rsidR="00C87671" w:rsidRDefault="00C87671"/>
    <w:p w14:paraId="135E01A6" w14:textId="77777777" w:rsidR="00C942A8" w:rsidRDefault="00C942A8">
      <w:pPr>
        <w:rPr>
          <w:b/>
          <w:color w:val="E0651F"/>
          <w:sz w:val="36"/>
        </w:rPr>
      </w:pPr>
      <w:r>
        <w:rPr>
          <w:b/>
          <w:color w:val="E0651F"/>
          <w:sz w:val="36"/>
        </w:rPr>
        <w:br w:type="page"/>
      </w:r>
    </w:p>
    <w:p w14:paraId="6B7C11B3" w14:textId="13F0AE5E" w:rsidR="00C87671" w:rsidRDefault="00000000">
      <w:pPr>
        <w:spacing w:before="200" w:after="120" w:line="240" w:lineRule="auto"/>
      </w:pPr>
      <w:r>
        <w:rPr>
          <w:b/>
          <w:color w:val="E0651F"/>
          <w:sz w:val="36"/>
        </w:rPr>
        <w:lastRenderedPageBreak/>
        <w:t>Referral criteria summary</w:t>
      </w:r>
    </w:p>
    <w:p w14:paraId="11BFDEE4" w14:textId="77777777" w:rsidR="00C87671" w:rsidRDefault="00000000">
      <w:pPr>
        <w:spacing w:after="60" w:line="264" w:lineRule="auto"/>
        <w:ind w:left="340" w:hanging="227"/>
      </w:pPr>
      <w:r>
        <w:rPr>
          <w:color w:val="333333"/>
        </w:rPr>
        <w:t>• Visible haematuria aged 45 or over: 2-week-wait urology referral.</w:t>
      </w:r>
    </w:p>
    <w:p w14:paraId="08D682CF" w14:textId="77777777" w:rsidR="00C87671" w:rsidRDefault="00000000">
      <w:pPr>
        <w:spacing w:after="60" w:line="264" w:lineRule="auto"/>
        <w:ind w:left="340" w:hanging="227"/>
      </w:pPr>
      <w:r>
        <w:rPr>
          <w:color w:val="333333"/>
        </w:rPr>
        <w:t>• Suspected neurological cause.</w:t>
      </w:r>
    </w:p>
    <w:p w14:paraId="2864F899" w14:textId="77777777" w:rsidR="00C87671" w:rsidRDefault="00000000">
      <w:pPr>
        <w:spacing w:after="60" w:line="264" w:lineRule="auto"/>
        <w:ind w:left="340" w:hanging="227"/>
      </w:pPr>
      <w:r>
        <w:rPr>
          <w:color w:val="333333"/>
        </w:rPr>
        <w:t>• Recurrent UTIs.</w:t>
      </w:r>
    </w:p>
    <w:p w14:paraId="44A1BE4E" w14:textId="77777777" w:rsidR="00C87671" w:rsidRDefault="00000000">
      <w:pPr>
        <w:spacing w:after="60" w:line="264" w:lineRule="auto"/>
        <w:ind w:left="340" w:hanging="227"/>
      </w:pPr>
      <w:r>
        <w:rPr>
          <w:color w:val="333333"/>
        </w:rPr>
        <w:t>• Significant pelvic organ prolapse.</w:t>
      </w:r>
    </w:p>
    <w:p w14:paraId="0C0E7D12" w14:textId="77777777" w:rsidR="00C87671" w:rsidRDefault="00000000">
      <w:pPr>
        <w:spacing w:after="60" w:line="264" w:lineRule="auto"/>
        <w:ind w:left="340" w:hanging="227"/>
      </w:pPr>
      <w:r>
        <w:rPr>
          <w:color w:val="333333"/>
        </w:rPr>
        <w:t>• Voiding dysfunction or retention.</w:t>
      </w:r>
    </w:p>
    <w:p w14:paraId="22E0E100" w14:textId="77777777" w:rsidR="00C87671" w:rsidRDefault="00000000">
      <w:pPr>
        <w:spacing w:after="60" w:line="264" w:lineRule="auto"/>
        <w:ind w:left="340" w:hanging="227"/>
      </w:pPr>
      <w:r>
        <w:rPr>
          <w:color w:val="333333"/>
        </w:rPr>
        <w:t>• Failed conservative management.</w:t>
      </w:r>
    </w:p>
    <w:p w14:paraId="28247F17" w14:textId="77777777" w:rsidR="00C87671" w:rsidRDefault="00000000">
      <w:pPr>
        <w:spacing w:after="60" w:line="264" w:lineRule="auto"/>
        <w:ind w:left="340" w:hanging="227"/>
      </w:pPr>
      <w:r>
        <w:rPr>
          <w:color w:val="333333"/>
        </w:rPr>
        <w:t>• Unclear diagnosis or symptoms not fitting a straightforward primary care pathway.</w:t>
      </w:r>
    </w:p>
    <w:p w14:paraId="1B2C50C7" w14:textId="77777777" w:rsidR="00C87671" w:rsidRDefault="00000000">
      <w:pPr>
        <w:spacing w:before="200" w:after="120" w:line="240" w:lineRule="auto"/>
      </w:pPr>
      <w:r>
        <w:rPr>
          <w:b/>
          <w:color w:val="E0651F"/>
          <w:sz w:val="36"/>
        </w:rPr>
        <w:t>Disclaimer</w:t>
      </w:r>
    </w:p>
    <w:tbl>
      <w:tblPr>
        <w:tblW w:w="0" w:type="auto"/>
        <w:tblLook w:val="04A0" w:firstRow="1" w:lastRow="0" w:firstColumn="1" w:lastColumn="0" w:noHBand="0" w:noVBand="1"/>
      </w:tblPr>
      <w:tblGrid>
        <w:gridCol w:w="9978"/>
      </w:tblGrid>
      <w:tr w:rsidR="00C87671" w14:paraId="0671D587" w14:textId="77777777">
        <w:tc>
          <w:tcPr>
            <w:tcW w:w="9978" w:type="dxa"/>
            <w:tcBorders>
              <w:top w:val="single" w:sz="10" w:space="0" w:color="D93025"/>
              <w:left w:val="single" w:sz="10" w:space="0" w:color="D93025"/>
              <w:bottom w:val="single" w:sz="10" w:space="0" w:color="D93025"/>
              <w:right w:val="single" w:sz="10" w:space="0" w:color="D93025"/>
            </w:tcBorders>
            <w:shd w:val="clear" w:color="auto" w:fill="FCE8E6"/>
          </w:tcPr>
          <w:p w14:paraId="0E239758" w14:textId="77777777" w:rsidR="00C87671" w:rsidRDefault="00000000">
            <w:pPr>
              <w:spacing w:before="200" w:line="252" w:lineRule="auto"/>
              <w:jc w:val="center"/>
            </w:pPr>
            <w:r>
              <w:rPr>
                <w:b/>
                <w:color w:val="821F18"/>
                <w:sz w:val="24"/>
              </w:rPr>
              <w:t>Always double check this advice and drug doses with the latest NICE/BNF guidance. This document is for educational purposes only.</w:t>
            </w:r>
          </w:p>
        </w:tc>
      </w:tr>
    </w:tbl>
    <w:p w14:paraId="58194541" w14:textId="77777777" w:rsidR="00C87671" w:rsidRDefault="00C87671"/>
    <w:p w14:paraId="5C82A4B4" w14:textId="77777777" w:rsidR="00C87671" w:rsidRDefault="00000000">
      <w:pPr>
        <w:spacing w:before="200" w:after="120" w:line="240" w:lineRule="auto"/>
      </w:pPr>
      <w:r>
        <w:rPr>
          <w:b/>
          <w:color w:val="E0651F"/>
          <w:sz w:val="28"/>
        </w:rPr>
        <w:t>References</w:t>
      </w:r>
    </w:p>
    <w:p w14:paraId="1AF58248" w14:textId="77777777" w:rsidR="00C87671" w:rsidRDefault="00000000">
      <w:pPr>
        <w:spacing w:after="40"/>
        <w:ind w:left="227" w:hanging="227"/>
      </w:pPr>
      <w:r>
        <w:rPr>
          <w:color w:val="464646"/>
          <w:sz w:val="20"/>
        </w:rPr>
        <w:t>1. Original source material: “incontinence - continence top tips.md” (parsed from 2020 Bradford VTS handout by Loren Pilling, Continence Nurse Specialist).</w:t>
      </w:r>
    </w:p>
    <w:p w14:paraId="5793C56B" w14:textId="77777777" w:rsidR="00C87671" w:rsidRDefault="00000000">
      <w:pPr>
        <w:spacing w:after="40"/>
        <w:ind w:left="227" w:hanging="227"/>
      </w:pPr>
      <w:r>
        <w:rPr>
          <w:color w:val="464646"/>
          <w:sz w:val="20"/>
        </w:rPr>
        <w:t>2. NICE guideline NG123: Urinary incontinence and pelvic organ prolapse in women: management.</w:t>
      </w:r>
    </w:p>
    <w:p w14:paraId="5B097BBA" w14:textId="77777777" w:rsidR="00C87671" w:rsidRDefault="00000000">
      <w:pPr>
        <w:spacing w:after="40"/>
        <w:ind w:left="227" w:hanging="227"/>
      </w:pPr>
      <w:r>
        <w:rPr>
          <w:color w:val="464646"/>
          <w:sz w:val="20"/>
        </w:rPr>
        <w:t>3. BNF prescribing guidance for overactive bladder medicines, current dosing checked against 2024 updates supplied in task brief.</w:t>
      </w:r>
    </w:p>
    <w:p w14:paraId="15DC70F4" w14:textId="77777777" w:rsidR="00C87671" w:rsidRDefault="00000000">
      <w:pPr>
        <w:spacing w:after="40"/>
        <w:ind w:left="227" w:hanging="227"/>
      </w:pPr>
      <w:r>
        <w:rPr>
          <w:color w:val="464646"/>
          <w:sz w:val="20"/>
        </w:rPr>
        <w:t>4. MHRA 2023 safety advice on anticholinergic burden and dementia risk in older adults.</w:t>
      </w:r>
    </w:p>
    <w:sectPr w:rsidR="00C87671" w:rsidSect="00034616">
      <w:footerReference w:type="default" r:id="rId9"/>
      <w:pgSz w:w="11906" w:h="16838"/>
      <w:pgMar w:top="907" w:right="964" w:bottom="1020" w:left="9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234CFD" w14:textId="77777777" w:rsidR="00FB7202" w:rsidRDefault="00FB7202">
      <w:pPr>
        <w:spacing w:after="0" w:line="240" w:lineRule="auto"/>
      </w:pPr>
      <w:r>
        <w:separator/>
      </w:r>
    </w:p>
  </w:endnote>
  <w:endnote w:type="continuationSeparator" w:id="0">
    <w:p w14:paraId="213D1E82" w14:textId="77777777" w:rsidR="00FB7202" w:rsidRDefault="00FB72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A8B41" w14:textId="77777777" w:rsidR="00C87671" w:rsidRDefault="00000000">
    <w:pPr>
      <w:pStyle w:val="Footer"/>
      <w:jc w:val="center"/>
    </w:pPr>
    <w:r>
      <w:rPr>
        <w:i/>
        <w:color w:val="646464"/>
        <w:sz w:val="17"/>
      </w:rPr>
      <w:t>A free resource provided by www.bradfordvts.co.uk, Dr Ramesh Mehay, original 2020, revised May 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D45960" w14:textId="77777777" w:rsidR="00FB7202" w:rsidRDefault="00FB7202">
      <w:pPr>
        <w:spacing w:after="0" w:line="240" w:lineRule="auto"/>
      </w:pPr>
      <w:r>
        <w:separator/>
      </w:r>
    </w:p>
  </w:footnote>
  <w:footnote w:type="continuationSeparator" w:id="0">
    <w:p w14:paraId="72E31380" w14:textId="77777777" w:rsidR="00FB7202" w:rsidRDefault="00FB720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386249850">
    <w:abstractNumId w:val="8"/>
  </w:num>
  <w:num w:numId="2" w16cid:durableId="475531414">
    <w:abstractNumId w:val="6"/>
  </w:num>
  <w:num w:numId="3" w16cid:durableId="569773955">
    <w:abstractNumId w:val="5"/>
  </w:num>
  <w:num w:numId="4" w16cid:durableId="783694737">
    <w:abstractNumId w:val="4"/>
  </w:num>
  <w:num w:numId="5" w16cid:durableId="1241408095">
    <w:abstractNumId w:val="7"/>
  </w:num>
  <w:num w:numId="6" w16cid:durableId="2123189014">
    <w:abstractNumId w:val="3"/>
  </w:num>
  <w:num w:numId="7" w16cid:durableId="1572932447">
    <w:abstractNumId w:val="2"/>
  </w:num>
  <w:num w:numId="8" w16cid:durableId="1914581976">
    <w:abstractNumId w:val="1"/>
  </w:num>
  <w:num w:numId="9" w16cid:durableId="443759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AA1D8D"/>
    <w:rsid w:val="00B375B0"/>
    <w:rsid w:val="00B47730"/>
    <w:rsid w:val="00C87671"/>
    <w:rsid w:val="00C942A8"/>
    <w:rsid w:val="00CB0664"/>
    <w:rsid w:val="00FB7202"/>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DDA65D2"/>
  <w14:defaultImageDpi w14:val="300"/>
  <w15:docId w15:val="{72691648-35ED-4C7C-B0F9-5DFBF68A0E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Calibri" w:eastAsia="Calibri" w:hAnsi="Calibri" w:cs="Calibri"/>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1745</Words>
  <Characters>9951</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11673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Ramesh Mehay</cp:lastModifiedBy>
  <cp:revision>3</cp:revision>
  <dcterms:created xsi:type="dcterms:W3CDTF">2013-12-23T23:15:00Z</dcterms:created>
  <dcterms:modified xsi:type="dcterms:W3CDTF">2026-05-23T15:28:00Z</dcterms:modified>
  <cp:category/>
</cp:coreProperties>
</file>