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nil"/>
          <w:left w:val="nil"/>
          <w:bottom w:val="nil"/>
          <w:right w:val="nil"/>
          <w:insideH w:val="nil"/>
          <w:insideV w:val="nil"/>
        </w:tblBorders>
        <w:tblLook w:val="04A0" w:firstRow="1" w:lastRow="0" w:firstColumn="1" w:lastColumn="0" w:noHBand="0" w:noVBand="1"/>
      </w:tblPr>
      <w:tblGrid>
        <w:gridCol w:w="9866"/>
      </w:tblGrid>
      <w:tr w:rsidR="00364E9A" w14:paraId="32FB358B" w14:textId="77777777">
        <w:trPr>
          <w:jc w:val="center"/>
        </w:trPr>
        <w:tc>
          <w:tcPr>
            <w:tcW w:w="9866" w:type="dxa"/>
            <w:shd w:val="clear" w:color="auto" w:fill="E0651F"/>
          </w:tcPr>
          <w:p w14:paraId="6737A77F" w14:textId="77777777" w:rsidR="00364E9A" w:rsidRDefault="00000000">
            <w:pPr>
              <w:spacing w:before="240" w:after="0"/>
              <w:jc w:val="center"/>
            </w:pPr>
            <w:r>
              <w:rPr>
                <w:b/>
                <w:caps/>
                <w:color w:val="FFFFFF"/>
              </w:rPr>
              <w:t>BRADFORD VTS TEACHING AIDS</w:t>
            </w:r>
          </w:p>
          <w:p w14:paraId="5D219391" w14:textId="77777777" w:rsidR="00364E9A" w:rsidRDefault="00000000">
            <w:pPr>
              <w:spacing w:before="160" w:after="120"/>
              <w:jc w:val="center"/>
            </w:pPr>
            <w:r>
              <w:rPr>
                <w:b/>
                <w:color w:val="FFFFFF"/>
                <w:sz w:val="76"/>
              </w:rPr>
              <w:t>Antibiotic Prophylaxis for Recurrent UTI</w:t>
            </w:r>
          </w:p>
          <w:p w14:paraId="6C27191C" w14:textId="77777777" w:rsidR="00364E9A" w:rsidRDefault="00000000">
            <w:pPr>
              <w:spacing w:before="40" w:after="240"/>
              <w:jc w:val="center"/>
            </w:pPr>
            <w:r>
              <w:rPr>
                <w:i/>
                <w:color w:val="FFFFFF"/>
                <w:sz w:val="26"/>
              </w:rPr>
              <w:t>Clinical Practice Guide · Bradford VTS · May 2026</w:t>
            </w:r>
          </w:p>
        </w:tc>
      </w:tr>
    </w:tbl>
    <w:p w14:paraId="6A41DE66" w14:textId="77777777" w:rsidR="00364E9A" w:rsidRDefault="00364E9A"/>
    <w:p w14:paraId="7BFDE523" w14:textId="77777777" w:rsidR="00364E9A" w:rsidRDefault="00000000">
      <w:pPr>
        <w:jc w:val="center"/>
      </w:pPr>
      <w:r>
        <w:rPr>
          <w:noProof/>
        </w:rPr>
        <w:drawing>
          <wp:inline distT="0" distB="0" distL="0" distR="0" wp14:anchorId="4F42B99B" wp14:editId="0CC4CABA">
            <wp:extent cx="6234113" cy="23288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jpg"/>
                    <pic:cNvPicPr/>
                  </pic:nvPicPr>
                  <pic:blipFill rotWithShape="1">
                    <a:blip r:embed="rId8"/>
                    <a:srcRect l="-378" t="15192" r="1553" b="38661"/>
                    <a:stretch>
                      <a:fillRect/>
                    </a:stretch>
                  </pic:blipFill>
                  <pic:spPr bwMode="auto">
                    <a:xfrm>
                      <a:off x="0" y="0"/>
                      <a:ext cx="6235183" cy="2329263"/>
                    </a:xfrm>
                    <a:prstGeom prst="rect">
                      <a:avLst/>
                    </a:prstGeom>
                    <a:ln>
                      <a:noFill/>
                    </a:ln>
                    <a:extLst>
                      <a:ext uri="{53640926-AAD7-44D8-BBD7-CCE9431645EC}">
                        <a14:shadowObscured xmlns:a14="http://schemas.microsoft.com/office/drawing/2010/main"/>
                      </a:ext>
                    </a:extLst>
                  </pic:spPr>
                </pic:pic>
              </a:graphicData>
            </a:graphic>
          </wp:inline>
        </w:drawing>
      </w:r>
    </w:p>
    <w:p w14:paraId="564C7A1B" w14:textId="77777777" w:rsidR="00364E9A" w:rsidRDefault="00000000">
      <w:pPr>
        <w:jc w:val="center"/>
      </w:pPr>
      <w:r>
        <w:rPr>
          <w:i/>
          <w:color w:val="6E6E6E"/>
          <w:sz w:val="19"/>
        </w:rPr>
        <w:t>Figure 1. Primary care consultation and medicines review context.</w:t>
      </w:r>
    </w:p>
    <w:p w14:paraId="4EF54A87" w14:textId="77777777" w:rsidR="00364E9A" w:rsidRDefault="00000000">
      <w:pPr>
        <w:spacing w:before="280" w:after="120"/>
      </w:pPr>
      <w:r>
        <w:rPr>
          <w:b/>
          <w:color w:val="E0651F"/>
          <w:sz w:val="40"/>
        </w:rPr>
        <w:t>Introduction and why this matters</w:t>
      </w:r>
    </w:p>
    <w:p w14:paraId="33390C63" w14:textId="77777777" w:rsidR="00364E9A" w:rsidRDefault="00000000">
      <w:pPr>
        <w:spacing w:after="120"/>
      </w:pPr>
      <w:r>
        <w:rPr>
          <w:color w:val="333333"/>
        </w:rPr>
        <w:t>Recurrent UTI is common in primary care, but prophylaxis is one of the easiest areas in which repeat prescribing can drift away from best practice. The key clinical challenge is balancing symptom prevention against antimicrobial resistance, adverse effects, and the risk of continuing treatment without meaningful review.</w:t>
      </w:r>
    </w:p>
    <w:p w14:paraId="2E9D08A9" w14:textId="77777777" w:rsidR="00364E9A" w:rsidRDefault="00000000">
      <w:pPr>
        <w:spacing w:after="120"/>
      </w:pPr>
      <w:r>
        <w:rPr>
          <w:color w:val="333333"/>
        </w:rPr>
        <w:t>For Bradford VTS trainees, the practical learning point is simple: prophylaxis is never “set and forget”. NICE NG112 supports a stepped approach, starting with behavioural measures and vaginal oestrogen where appropriate, before moving to single-dose triggers, methenamine hippurate, or daily antibiotic prophylaxis only when justified.</w:t>
      </w:r>
    </w:p>
    <w:p w14:paraId="5961F4F0" w14:textId="77777777" w:rsidR="00364E9A" w:rsidRDefault="00000000">
      <w:pPr>
        <w:spacing w:after="120"/>
      </w:pPr>
      <w:r>
        <w:rPr>
          <w:color w:val="333333"/>
        </w:rPr>
        <w:t>This handout uses the original South West Yorkshire prescribing reminder as a structural starting point, but all clinical recommendations and dosing summaries below have been updated to align with NICE NG112 (last reviewed December 2024) and current BNF-based prescribing principles for 2026 training use.</w:t>
      </w:r>
    </w:p>
    <w:p w14:paraId="02F52E09" w14:textId="77777777" w:rsidR="006959CC" w:rsidRDefault="006959CC">
      <w:pPr>
        <w:rPr>
          <w:b/>
          <w:color w:val="E0651F"/>
          <w:sz w:val="40"/>
        </w:rPr>
      </w:pPr>
      <w:r>
        <w:rPr>
          <w:b/>
          <w:color w:val="E0651F"/>
          <w:sz w:val="40"/>
        </w:rPr>
        <w:br w:type="page"/>
      </w:r>
    </w:p>
    <w:p w14:paraId="1DFE8836" w14:textId="74A1EC5A" w:rsidR="00364E9A" w:rsidRDefault="00000000">
      <w:pPr>
        <w:spacing w:before="280" w:after="120"/>
      </w:pPr>
      <w:r>
        <w:rPr>
          <w:b/>
          <w:color w:val="E0651F"/>
          <w:sz w:val="40"/>
        </w:rPr>
        <w:lastRenderedPageBreak/>
        <w:t>Definition of recurrent UTI (NICE NG112)</w:t>
      </w:r>
    </w:p>
    <w:tbl>
      <w:tblPr>
        <w:tblW w:w="0" w:type="auto"/>
        <w:jc w:val="center"/>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ook w:val="04A0" w:firstRow="1" w:lastRow="0" w:firstColumn="1" w:lastColumn="0" w:noHBand="0" w:noVBand="1"/>
      </w:tblPr>
      <w:tblGrid>
        <w:gridCol w:w="4933"/>
        <w:gridCol w:w="4933"/>
      </w:tblGrid>
      <w:tr w:rsidR="00364E9A" w14:paraId="4CA830A5" w14:textId="77777777">
        <w:trPr>
          <w:jc w:val="center"/>
        </w:trPr>
        <w:tc>
          <w:tcPr>
            <w:tcW w:w="4933" w:type="dxa"/>
            <w:shd w:val="clear" w:color="auto" w:fill="F4E2D8"/>
            <w:vAlign w:val="center"/>
          </w:tcPr>
          <w:p w14:paraId="48BC3E1B" w14:textId="77777777" w:rsidR="00364E9A" w:rsidRDefault="00000000">
            <w:r>
              <w:rPr>
                <w:b/>
                <w:color w:val="464646"/>
              </w:rPr>
              <w:t>Population</w:t>
            </w:r>
          </w:p>
        </w:tc>
        <w:tc>
          <w:tcPr>
            <w:tcW w:w="4933" w:type="dxa"/>
            <w:shd w:val="clear" w:color="auto" w:fill="F4E2D8"/>
            <w:vAlign w:val="center"/>
          </w:tcPr>
          <w:p w14:paraId="78A77E60" w14:textId="77777777" w:rsidR="00364E9A" w:rsidRDefault="00000000">
            <w:r>
              <w:rPr>
                <w:b/>
                <w:color w:val="464646"/>
              </w:rPr>
              <w:t>Definition</w:t>
            </w:r>
          </w:p>
        </w:tc>
      </w:tr>
      <w:tr w:rsidR="00364E9A" w14:paraId="4E254D9F" w14:textId="77777777">
        <w:trPr>
          <w:jc w:val="center"/>
        </w:trPr>
        <w:tc>
          <w:tcPr>
            <w:tcW w:w="4933" w:type="dxa"/>
            <w:vAlign w:val="center"/>
          </w:tcPr>
          <w:p w14:paraId="6B5F08E0" w14:textId="77777777" w:rsidR="00364E9A" w:rsidRDefault="00000000">
            <w:r>
              <w:rPr>
                <w:color w:val="2D2D2D"/>
                <w:sz w:val="21"/>
              </w:rPr>
              <w:t>Adults</w:t>
            </w:r>
          </w:p>
        </w:tc>
        <w:tc>
          <w:tcPr>
            <w:tcW w:w="4933" w:type="dxa"/>
            <w:vAlign w:val="center"/>
          </w:tcPr>
          <w:p w14:paraId="37E45889" w14:textId="77777777" w:rsidR="00364E9A" w:rsidRDefault="00000000">
            <w:r>
              <w:rPr>
                <w:color w:val="2D2D2D"/>
                <w:sz w:val="21"/>
              </w:rPr>
              <w:t>2 or more UTIs in the last 6 months, or 3 or more UTIs in the last 12 months</w:t>
            </w:r>
          </w:p>
        </w:tc>
      </w:tr>
      <w:tr w:rsidR="00364E9A" w14:paraId="26CBBB35" w14:textId="77777777">
        <w:trPr>
          <w:jc w:val="center"/>
        </w:trPr>
        <w:tc>
          <w:tcPr>
            <w:tcW w:w="4933" w:type="dxa"/>
            <w:vAlign w:val="center"/>
          </w:tcPr>
          <w:p w14:paraId="081F9C0A" w14:textId="77777777" w:rsidR="00364E9A" w:rsidRDefault="00000000">
            <w:r>
              <w:rPr>
                <w:color w:val="2D2D2D"/>
                <w:sz w:val="21"/>
              </w:rPr>
              <w:t>Important scope note</w:t>
            </w:r>
          </w:p>
        </w:tc>
        <w:tc>
          <w:tcPr>
            <w:tcW w:w="4933" w:type="dxa"/>
            <w:vAlign w:val="center"/>
          </w:tcPr>
          <w:p w14:paraId="3FB1E5DA" w14:textId="77777777" w:rsidR="00364E9A" w:rsidRDefault="00000000">
            <w:r>
              <w:rPr>
                <w:color w:val="2D2D2D"/>
                <w:sz w:val="21"/>
              </w:rPr>
              <w:t>This stepped framework mainly applies to women and people with a female urinary system. Men, children, pregnancy, recurrent upper UTI, and complex presentations should prompt specialist advice.</w:t>
            </w:r>
          </w:p>
        </w:tc>
      </w:tr>
    </w:tbl>
    <w:p w14:paraId="70D9A004" w14:textId="77777777" w:rsidR="00364E9A" w:rsidRDefault="00364E9A"/>
    <w:p w14:paraId="67DCA965" w14:textId="77777777" w:rsidR="00364E9A" w:rsidRDefault="00000000">
      <w:pPr>
        <w:spacing w:before="280" w:after="120"/>
      </w:pPr>
      <w:r>
        <w:rPr>
          <w:b/>
          <w:color w:val="E0651F"/>
          <w:sz w:val="40"/>
        </w:rPr>
        <w:t>Stepped approach to prophylaxis</w:t>
      </w:r>
    </w:p>
    <w:p w14:paraId="175B6FEB" w14:textId="77777777" w:rsidR="00364E9A" w:rsidRDefault="00000000">
      <w:pPr>
        <w:spacing w:after="120"/>
      </w:pPr>
      <w:r>
        <w:rPr>
          <w:color w:val="333333"/>
        </w:rPr>
        <w:t>Use the least antibiotic-intensive option that is appropriate, and move stepwise only if the previous step has been tried properly or is unsuitable.</w:t>
      </w:r>
    </w:p>
    <w:tbl>
      <w:tblPr>
        <w:tblW w:w="0" w:type="auto"/>
        <w:jc w:val="center"/>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ook w:val="04A0" w:firstRow="1" w:lastRow="0" w:firstColumn="1" w:lastColumn="0" w:noHBand="0" w:noVBand="1"/>
      </w:tblPr>
      <w:tblGrid>
        <w:gridCol w:w="3289"/>
        <w:gridCol w:w="3289"/>
        <w:gridCol w:w="3289"/>
      </w:tblGrid>
      <w:tr w:rsidR="00364E9A" w14:paraId="23CE2D94" w14:textId="77777777">
        <w:trPr>
          <w:jc w:val="center"/>
        </w:trPr>
        <w:tc>
          <w:tcPr>
            <w:tcW w:w="3289" w:type="dxa"/>
            <w:shd w:val="clear" w:color="auto" w:fill="EAF1F8"/>
          </w:tcPr>
          <w:p w14:paraId="29E15740" w14:textId="77777777" w:rsidR="00364E9A" w:rsidRDefault="00000000">
            <w:r>
              <w:rPr>
                <w:b/>
                <w:color w:val="282828"/>
              </w:rPr>
              <w:t>Step</w:t>
            </w:r>
          </w:p>
        </w:tc>
        <w:tc>
          <w:tcPr>
            <w:tcW w:w="3289" w:type="dxa"/>
            <w:shd w:val="clear" w:color="auto" w:fill="EAF1F8"/>
          </w:tcPr>
          <w:p w14:paraId="44DCF3AA" w14:textId="77777777" w:rsidR="00364E9A" w:rsidRDefault="00000000">
            <w:r>
              <w:rPr>
                <w:b/>
                <w:color w:val="282828"/>
              </w:rPr>
              <w:t>Intervention</w:t>
            </w:r>
          </w:p>
        </w:tc>
        <w:tc>
          <w:tcPr>
            <w:tcW w:w="3289" w:type="dxa"/>
            <w:shd w:val="clear" w:color="auto" w:fill="EAF1F8"/>
          </w:tcPr>
          <w:p w14:paraId="6B7C8A2F" w14:textId="77777777" w:rsidR="00364E9A" w:rsidRDefault="00000000">
            <w:r>
              <w:rPr>
                <w:b/>
                <w:color w:val="282828"/>
              </w:rPr>
              <w:t>Key practical point</w:t>
            </w:r>
          </w:p>
        </w:tc>
      </w:tr>
      <w:tr w:rsidR="00364E9A" w14:paraId="620E8457" w14:textId="77777777">
        <w:trPr>
          <w:jc w:val="center"/>
        </w:trPr>
        <w:tc>
          <w:tcPr>
            <w:tcW w:w="3289" w:type="dxa"/>
            <w:shd w:val="clear" w:color="auto" w:fill="FFF4EC"/>
          </w:tcPr>
          <w:p w14:paraId="37B74E06" w14:textId="77777777" w:rsidR="00364E9A" w:rsidRDefault="00000000">
            <w:r>
              <w:rPr>
                <w:b/>
                <w:color w:val="2D2D2D"/>
                <w:sz w:val="21"/>
              </w:rPr>
              <w:t>1</w:t>
            </w:r>
          </w:p>
        </w:tc>
        <w:tc>
          <w:tcPr>
            <w:tcW w:w="3289" w:type="dxa"/>
          </w:tcPr>
          <w:p w14:paraId="0E390C0E" w14:textId="77777777" w:rsidR="00364E9A" w:rsidRDefault="00000000">
            <w:r>
              <w:rPr>
                <w:color w:val="2D2D2D"/>
                <w:sz w:val="21"/>
              </w:rPr>
              <w:t>Behavioural and personal hygiene measures</w:t>
            </w:r>
          </w:p>
        </w:tc>
        <w:tc>
          <w:tcPr>
            <w:tcW w:w="3289" w:type="dxa"/>
          </w:tcPr>
          <w:p w14:paraId="3D9040B0" w14:textId="77777777" w:rsidR="00364E9A" w:rsidRDefault="00000000">
            <w:r>
              <w:rPr>
                <w:color w:val="2D2D2D"/>
                <w:sz w:val="21"/>
              </w:rPr>
              <w:t>Always start here. Encourage hydration, post-coital voiding, avoidance of irritants, and simple self-care measures.</w:t>
            </w:r>
          </w:p>
        </w:tc>
      </w:tr>
      <w:tr w:rsidR="00364E9A" w14:paraId="6C1B6A43" w14:textId="77777777">
        <w:trPr>
          <w:jc w:val="center"/>
        </w:trPr>
        <w:tc>
          <w:tcPr>
            <w:tcW w:w="3289" w:type="dxa"/>
            <w:shd w:val="clear" w:color="auto" w:fill="FFF4EC"/>
          </w:tcPr>
          <w:p w14:paraId="61F7E6BA" w14:textId="77777777" w:rsidR="00364E9A" w:rsidRDefault="00000000">
            <w:r>
              <w:rPr>
                <w:b/>
                <w:color w:val="2D2D2D"/>
                <w:sz w:val="21"/>
              </w:rPr>
              <w:t>2</w:t>
            </w:r>
          </w:p>
        </w:tc>
        <w:tc>
          <w:tcPr>
            <w:tcW w:w="3289" w:type="dxa"/>
          </w:tcPr>
          <w:p w14:paraId="7E5B67B3" w14:textId="77777777" w:rsidR="00364E9A" w:rsidRDefault="00000000">
            <w:r>
              <w:rPr>
                <w:color w:val="2D2D2D"/>
                <w:sz w:val="21"/>
              </w:rPr>
              <w:t>Topical vaginal oestrogen</w:t>
            </w:r>
          </w:p>
        </w:tc>
        <w:tc>
          <w:tcPr>
            <w:tcW w:w="3289" w:type="dxa"/>
          </w:tcPr>
          <w:p w14:paraId="13A64114" w14:textId="77777777" w:rsidR="00364E9A" w:rsidRDefault="00000000">
            <w:r>
              <w:rPr>
                <w:color w:val="2D2D2D"/>
                <w:sz w:val="21"/>
              </w:rPr>
              <w:t>Consider for perimenopausal or menopausal women if step 1 is insufficient; review within 12 months.</w:t>
            </w:r>
          </w:p>
        </w:tc>
      </w:tr>
      <w:tr w:rsidR="00364E9A" w14:paraId="30E28B50" w14:textId="77777777">
        <w:trPr>
          <w:jc w:val="center"/>
        </w:trPr>
        <w:tc>
          <w:tcPr>
            <w:tcW w:w="3289" w:type="dxa"/>
            <w:shd w:val="clear" w:color="auto" w:fill="FFF4EC"/>
          </w:tcPr>
          <w:p w14:paraId="72C88FE9" w14:textId="77777777" w:rsidR="00364E9A" w:rsidRDefault="00000000">
            <w:r>
              <w:rPr>
                <w:b/>
                <w:color w:val="2D2D2D"/>
                <w:sz w:val="21"/>
              </w:rPr>
              <w:t>3</w:t>
            </w:r>
          </w:p>
        </w:tc>
        <w:tc>
          <w:tcPr>
            <w:tcW w:w="3289" w:type="dxa"/>
          </w:tcPr>
          <w:p w14:paraId="1345DC5A" w14:textId="77777777" w:rsidR="00364E9A" w:rsidRDefault="00000000">
            <w:r>
              <w:rPr>
                <w:color w:val="2D2D2D"/>
                <w:sz w:val="21"/>
              </w:rPr>
              <w:t>Single-dose antibiotic prophylaxis</w:t>
            </w:r>
          </w:p>
        </w:tc>
        <w:tc>
          <w:tcPr>
            <w:tcW w:w="3289" w:type="dxa"/>
          </w:tcPr>
          <w:p w14:paraId="7A232229" w14:textId="77777777" w:rsidR="00364E9A" w:rsidRDefault="00000000">
            <w:r>
              <w:rPr>
                <w:color w:val="2D2D2D"/>
                <w:sz w:val="21"/>
              </w:rPr>
              <w:t>Useful when there is an identifiable trigger, especially intercourse; use only after steps 1–2 are insufficient.</w:t>
            </w:r>
          </w:p>
        </w:tc>
      </w:tr>
      <w:tr w:rsidR="00364E9A" w14:paraId="3108A27A" w14:textId="77777777">
        <w:trPr>
          <w:jc w:val="center"/>
        </w:trPr>
        <w:tc>
          <w:tcPr>
            <w:tcW w:w="3289" w:type="dxa"/>
            <w:shd w:val="clear" w:color="auto" w:fill="FFF4EC"/>
          </w:tcPr>
          <w:p w14:paraId="7E073ED2" w14:textId="77777777" w:rsidR="00364E9A" w:rsidRDefault="00000000">
            <w:r>
              <w:rPr>
                <w:b/>
                <w:color w:val="2D2D2D"/>
                <w:sz w:val="21"/>
              </w:rPr>
              <w:t>4</w:t>
            </w:r>
          </w:p>
        </w:tc>
        <w:tc>
          <w:tcPr>
            <w:tcW w:w="3289" w:type="dxa"/>
          </w:tcPr>
          <w:p w14:paraId="7701F86B" w14:textId="77777777" w:rsidR="00364E9A" w:rsidRDefault="00000000">
            <w:r>
              <w:rPr>
                <w:color w:val="2D2D2D"/>
                <w:sz w:val="21"/>
              </w:rPr>
              <w:t>Methenamine hippurate 1 g twice daily</w:t>
            </w:r>
          </w:p>
        </w:tc>
        <w:tc>
          <w:tcPr>
            <w:tcW w:w="3289" w:type="dxa"/>
          </w:tcPr>
          <w:p w14:paraId="21A42413" w14:textId="77777777" w:rsidR="00364E9A" w:rsidRDefault="00000000">
            <w:r>
              <w:rPr>
                <w:color w:val="2D2D2D"/>
                <w:sz w:val="21"/>
              </w:rPr>
              <w:t>Now a key alternative to daily antibiotics if not pregnant, current UTI has been treated, and earlier steps were not enough.</w:t>
            </w:r>
          </w:p>
        </w:tc>
      </w:tr>
      <w:tr w:rsidR="00364E9A" w14:paraId="2F1DD339" w14:textId="77777777">
        <w:trPr>
          <w:jc w:val="center"/>
        </w:trPr>
        <w:tc>
          <w:tcPr>
            <w:tcW w:w="3289" w:type="dxa"/>
            <w:shd w:val="clear" w:color="auto" w:fill="FFF4EC"/>
          </w:tcPr>
          <w:p w14:paraId="334DF74A" w14:textId="77777777" w:rsidR="00364E9A" w:rsidRDefault="00000000">
            <w:r>
              <w:rPr>
                <w:b/>
                <w:color w:val="2D2D2D"/>
                <w:sz w:val="21"/>
              </w:rPr>
              <w:t>5</w:t>
            </w:r>
          </w:p>
        </w:tc>
        <w:tc>
          <w:tcPr>
            <w:tcW w:w="3289" w:type="dxa"/>
          </w:tcPr>
          <w:p w14:paraId="5114AAF9" w14:textId="77777777" w:rsidR="00364E9A" w:rsidRDefault="00000000">
            <w:r>
              <w:rPr>
                <w:color w:val="2D2D2D"/>
                <w:sz w:val="21"/>
              </w:rPr>
              <w:t>Daily antibiotic prophylaxis</w:t>
            </w:r>
          </w:p>
        </w:tc>
        <w:tc>
          <w:tcPr>
            <w:tcW w:w="3289" w:type="dxa"/>
          </w:tcPr>
          <w:p w14:paraId="20EFEB2D" w14:textId="77777777" w:rsidR="00364E9A" w:rsidRDefault="00000000">
            <w:r>
              <w:rPr>
                <w:color w:val="2D2D2D"/>
                <w:sz w:val="21"/>
              </w:rPr>
              <w:t>Reserve for cases where steps 1–4 are ineffective or unsuitable; review carefully and involve specialists for higher-risk groups.</w:t>
            </w:r>
          </w:p>
        </w:tc>
      </w:tr>
    </w:tbl>
    <w:p w14:paraId="263CFC30" w14:textId="77777777" w:rsidR="00364E9A" w:rsidRDefault="00364E9A"/>
    <w:p w14:paraId="2F1DCD0F" w14:textId="77777777" w:rsidR="006959CC" w:rsidRDefault="006959CC">
      <w:pPr>
        <w:rPr>
          <w:b/>
          <w:color w:val="E0651F"/>
          <w:sz w:val="40"/>
        </w:rPr>
      </w:pPr>
      <w:r>
        <w:rPr>
          <w:b/>
          <w:color w:val="E0651F"/>
          <w:sz w:val="40"/>
        </w:rPr>
        <w:br w:type="page"/>
      </w:r>
    </w:p>
    <w:p w14:paraId="0CA3860C" w14:textId="12F3D422" w:rsidR="00364E9A" w:rsidRDefault="00000000">
      <w:pPr>
        <w:spacing w:before="280" w:after="120"/>
      </w:pPr>
      <w:proofErr w:type="spellStart"/>
      <w:r>
        <w:rPr>
          <w:b/>
          <w:color w:val="E0651F"/>
          <w:sz w:val="40"/>
        </w:rPr>
        <w:lastRenderedPageBreak/>
        <w:t>Behavioural</w:t>
      </w:r>
      <w:proofErr w:type="spellEnd"/>
      <w:r>
        <w:rPr>
          <w:b/>
          <w:color w:val="E0651F"/>
          <w:sz w:val="40"/>
        </w:rPr>
        <w:t xml:space="preserve"> and personal hygiene measures</w:t>
      </w:r>
    </w:p>
    <w:tbl>
      <w:tblPr>
        <w:tblW w:w="0" w:type="auto"/>
        <w:jc w:val="center"/>
        <w:tblBorders>
          <w:top w:val="single" w:sz="10" w:space="0" w:color="D9EAD3"/>
          <w:left w:val="single" w:sz="10" w:space="0" w:color="D9EAD3"/>
          <w:bottom w:val="single" w:sz="10" w:space="0" w:color="D9EAD3"/>
          <w:right w:val="single" w:sz="10" w:space="0" w:color="D9EAD3"/>
          <w:insideH w:val="single" w:sz="10" w:space="0" w:color="D9EAD3"/>
          <w:insideV w:val="single" w:sz="10" w:space="0" w:color="D9EAD3"/>
        </w:tblBorders>
        <w:tblLook w:val="04A0" w:firstRow="1" w:lastRow="0" w:firstColumn="1" w:lastColumn="0" w:noHBand="0" w:noVBand="1"/>
      </w:tblPr>
      <w:tblGrid>
        <w:gridCol w:w="9866"/>
      </w:tblGrid>
      <w:tr w:rsidR="00364E9A" w14:paraId="04CDFDB5" w14:textId="77777777">
        <w:trPr>
          <w:jc w:val="center"/>
        </w:trPr>
        <w:tc>
          <w:tcPr>
            <w:tcW w:w="9866" w:type="dxa"/>
            <w:shd w:val="clear" w:color="auto" w:fill="F3FAEF"/>
          </w:tcPr>
          <w:p w14:paraId="785A2E35" w14:textId="77777777" w:rsidR="00364E9A" w:rsidRDefault="00000000">
            <w:r>
              <w:rPr>
                <w:b/>
                <w:color w:val="385723"/>
                <w:sz w:val="26"/>
              </w:rPr>
              <w:t>Start with self-care before prescribing prophylaxis</w:t>
            </w:r>
          </w:p>
          <w:p w14:paraId="36AB9BC5" w14:textId="77777777" w:rsidR="00364E9A" w:rsidRDefault="00000000">
            <w:r>
              <w:rPr>
                <w:color w:val="2D2D2D"/>
                <w:sz w:val="21"/>
              </w:rPr>
              <w:t>• Wipe from front to back after toileting.</w:t>
            </w:r>
          </w:p>
          <w:p w14:paraId="7083996C" w14:textId="77777777" w:rsidR="00364E9A" w:rsidRDefault="00000000">
            <w:r>
              <w:rPr>
                <w:color w:val="2D2D2D"/>
                <w:sz w:val="21"/>
              </w:rPr>
              <w:t>• Void after sexual intercourse if this is a trigger.</w:t>
            </w:r>
          </w:p>
          <w:p w14:paraId="03A1C1AB" w14:textId="77777777" w:rsidR="00364E9A" w:rsidRDefault="00000000">
            <w:r>
              <w:rPr>
                <w:color w:val="2D2D2D"/>
                <w:sz w:val="21"/>
              </w:rPr>
              <w:t>• Avoid possible irritants such as perfumed intimate products and harsh soaps.</w:t>
            </w:r>
          </w:p>
          <w:p w14:paraId="6F8F734B" w14:textId="77777777" w:rsidR="00364E9A" w:rsidRDefault="00000000">
            <w:r>
              <w:rPr>
                <w:color w:val="2D2D2D"/>
                <w:sz w:val="21"/>
              </w:rPr>
              <w:t>• Encourage adequate hydration; do not advise fluid restriction for prophylaxis.</w:t>
            </w:r>
          </w:p>
          <w:p w14:paraId="6D46EA99" w14:textId="77777777" w:rsidR="00364E9A" w:rsidRDefault="00000000">
            <w:r>
              <w:rPr>
                <w:color w:val="2D2D2D"/>
                <w:sz w:val="21"/>
              </w:rPr>
              <w:t>• D-mannose can be discussed: 200 ml of a 1% solution once daily in the evening. Explain that it is a sugar, not a medicine, and evidence is limited.</w:t>
            </w:r>
          </w:p>
          <w:p w14:paraId="54A2CE37" w14:textId="77777777" w:rsidR="00364E9A" w:rsidRDefault="00000000">
            <w:r>
              <w:rPr>
                <w:color w:val="2D2D2D"/>
                <w:sz w:val="21"/>
              </w:rPr>
              <w:t>• Cranberry products may be tried by some patients, but evidence is uncertain, especially in older people.</w:t>
            </w:r>
          </w:p>
        </w:tc>
      </w:tr>
    </w:tbl>
    <w:p w14:paraId="6D8AC78B" w14:textId="77777777" w:rsidR="00364E9A" w:rsidRDefault="00364E9A"/>
    <w:p w14:paraId="00160195" w14:textId="77777777" w:rsidR="00364E9A" w:rsidRDefault="00000000">
      <w:pPr>
        <w:spacing w:before="280" w:after="120"/>
      </w:pPr>
      <w:r>
        <w:rPr>
          <w:b/>
          <w:color w:val="E0651F"/>
          <w:sz w:val="40"/>
        </w:rPr>
        <w:t>Vaginal oestrogen guidance</w:t>
      </w:r>
    </w:p>
    <w:p w14:paraId="67475BC3" w14:textId="77777777" w:rsidR="00364E9A" w:rsidRDefault="00000000">
      <w:pPr>
        <w:spacing w:after="120"/>
      </w:pPr>
      <w:r>
        <w:rPr>
          <w:color w:val="333333"/>
        </w:rPr>
        <w:t>For perimenopausal and menopausal women with recurrent UTI, consider topical vaginal oestrogen if behavioural and personal hygiene measures alone are not effective enough.</w:t>
      </w:r>
    </w:p>
    <w:p w14:paraId="37982F3E" w14:textId="77777777" w:rsidR="00364E9A" w:rsidRDefault="00000000">
      <w:pPr>
        <w:spacing w:after="60"/>
        <w:ind w:left="340"/>
      </w:pPr>
      <w:r>
        <w:t>• Explain that vaginal oestrogen has minimal systemic absorption and should be discussed using shared decision making about benefits and risks.</w:t>
      </w:r>
    </w:p>
    <w:p w14:paraId="6459381C" w14:textId="77777777" w:rsidR="00364E9A" w:rsidRDefault="00000000">
      <w:pPr>
        <w:spacing w:after="60"/>
        <w:ind w:left="340"/>
      </w:pPr>
      <w:r>
        <w:t>• Review treatment within 12 months, or sooner if problems arise.</w:t>
      </w:r>
    </w:p>
    <w:p w14:paraId="4DCA7B2A" w14:textId="77777777" w:rsidR="00364E9A" w:rsidRDefault="00000000">
      <w:pPr>
        <w:spacing w:after="60"/>
        <w:ind w:left="340"/>
      </w:pPr>
      <w:r>
        <w:t>• Do not use systemic HRT specifically for prevention of recurrent UTI.</w:t>
      </w:r>
    </w:p>
    <w:p w14:paraId="6BE3D0CC" w14:textId="77777777" w:rsidR="00364E9A" w:rsidRDefault="00000000">
      <w:pPr>
        <w:spacing w:before="280" w:after="120"/>
      </w:pPr>
      <w:r>
        <w:rPr>
          <w:b/>
          <w:color w:val="E0651F"/>
          <w:sz w:val="40"/>
        </w:rPr>
        <w:t>Antibiotic prophylaxis options and doses</w:t>
      </w:r>
    </w:p>
    <w:p w14:paraId="1DCE1A72" w14:textId="77777777" w:rsidR="00364E9A" w:rsidRDefault="00000000">
      <w:pPr>
        <w:spacing w:after="120"/>
      </w:pPr>
      <w:r>
        <w:rPr>
          <w:color w:val="333333"/>
        </w:rPr>
        <w:t>Adult doses below reflect the NICE NG112 stepped approach and current BNF-aligned dosing principles for people aged 16 years and over. Off-label use should be made explicit when relevant.</w:t>
      </w:r>
    </w:p>
    <w:tbl>
      <w:tblPr>
        <w:tblW w:w="0" w:type="auto"/>
        <w:jc w:val="center"/>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ook w:val="04A0" w:firstRow="1" w:lastRow="0" w:firstColumn="1" w:lastColumn="0" w:noHBand="0" w:noVBand="1"/>
      </w:tblPr>
      <w:tblGrid>
        <w:gridCol w:w="1973"/>
        <w:gridCol w:w="1973"/>
        <w:gridCol w:w="1973"/>
        <w:gridCol w:w="1973"/>
        <w:gridCol w:w="1973"/>
      </w:tblGrid>
      <w:tr w:rsidR="00364E9A" w14:paraId="39AF260A" w14:textId="77777777">
        <w:trPr>
          <w:jc w:val="center"/>
        </w:trPr>
        <w:tc>
          <w:tcPr>
            <w:tcW w:w="1973" w:type="dxa"/>
            <w:shd w:val="clear" w:color="auto" w:fill="EAF1F8"/>
          </w:tcPr>
          <w:p w14:paraId="06D95678" w14:textId="77777777" w:rsidR="00364E9A" w:rsidRDefault="00000000">
            <w:r>
              <w:rPr>
                <w:b/>
                <w:color w:val="282828"/>
                <w:sz w:val="21"/>
              </w:rPr>
              <w:t>Agent</w:t>
            </w:r>
          </w:p>
        </w:tc>
        <w:tc>
          <w:tcPr>
            <w:tcW w:w="1973" w:type="dxa"/>
            <w:shd w:val="clear" w:color="auto" w:fill="EAF1F8"/>
          </w:tcPr>
          <w:p w14:paraId="5AD6DEE8" w14:textId="77777777" w:rsidR="00364E9A" w:rsidRDefault="00000000">
            <w:r>
              <w:rPr>
                <w:b/>
                <w:color w:val="282828"/>
                <w:sz w:val="21"/>
              </w:rPr>
              <w:t>Single-dose prophylaxis (trigger/post-coital)</w:t>
            </w:r>
          </w:p>
        </w:tc>
        <w:tc>
          <w:tcPr>
            <w:tcW w:w="1973" w:type="dxa"/>
            <w:shd w:val="clear" w:color="auto" w:fill="EAF1F8"/>
          </w:tcPr>
          <w:p w14:paraId="003255A8" w14:textId="77777777" w:rsidR="00364E9A" w:rsidRDefault="00000000">
            <w:r>
              <w:rPr>
                <w:b/>
                <w:color w:val="282828"/>
                <w:sz w:val="21"/>
              </w:rPr>
              <w:t>Daily prophylaxis</w:t>
            </w:r>
          </w:p>
        </w:tc>
        <w:tc>
          <w:tcPr>
            <w:tcW w:w="1973" w:type="dxa"/>
            <w:shd w:val="clear" w:color="auto" w:fill="EAF1F8"/>
          </w:tcPr>
          <w:p w14:paraId="260CCCAC" w14:textId="77777777" w:rsidR="00364E9A" w:rsidRDefault="00000000">
            <w:r>
              <w:rPr>
                <w:b/>
                <w:color w:val="282828"/>
                <w:sz w:val="21"/>
              </w:rPr>
              <w:t>Key cautions</w:t>
            </w:r>
          </w:p>
        </w:tc>
        <w:tc>
          <w:tcPr>
            <w:tcW w:w="1973" w:type="dxa"/>
            <w:shd w:val="clear" w:color="auto" w:fill="EAF1F8"/>
          </w:tcPr>
          <w:p w14:paraId="5414B6A1" w14:textId="77777777" w:rsidR="00364E9A" w:rsidRDefault="00000000">
            <w:r>
              <w:rPr>
                <w:b/>
                <w:color w:val="282828"/>
                <w:sz w:val="21"/>
              </w:rPr>
              <w:t>Notes</w:t>
            </w:r>
          </w:p>
        </w:tc>
      </w:tr>
      <w:tr w:rsidR="00364E9A" w14:paraId="212A04CB" w14:textId="77777777">
        <w:trPr>
          <w:jc w:val="center"/>
        </w:trPr>
        <w:tc>
          <w:tcPr>
            <w:tcW w:w="1973" w:type="dxa"/>
          </w:tcPr>
          <w:p w14:paraId="0F532886" w14:textId="77777777" w:rsidR="00364E9A" w:rsidRDefault="00000000">
            <w:r>
              <w:rPr>
                <w:b/>
                <w:color w:val="2D2D2D"/>
                <w:sz w:val="19"/>
              </w:rPr>
              <w:t>Trimethoprim</w:t>
            </w:r>
          </w:p>
        </w:tc>
        <w:tc>
          <w:tcPr>
            <w:tcW w:w="1973" w:type="dxa"/>
          </w:tcPr>
          <w:p w14:paraId="04465CD3" w14:textId="77777777" w:rsidR="00364E9A" w:rsidRDefault="00000000">
            <w:r>
              <w:rPr>
                <w:color w:val="2D2D2D"/>
                <w:sz w:val="19"/>
              </w:rPr>
              <w:t>200 mg single dose</w:t>
            </w:r>
          </w:p>
        </w:tc>
        <w:tc>
          <w:tcPr>
            <w:tcW w:w="1973" w:type="dxa"/>
          </w:tcPr>
          <w:p w14:paraId="1A63AA5A" w14:textId="77777777" w:rsidR="00364E9A" w:rsidRDefault="00000000">
            <w:r>
              <w:rPr>
                <w:color w:val="2D2D2D"/>
                <w:sz w:val="19"/>
              </w:rPr>
              <w:t>100 mg at night</w:t>
            </w:r>
          </w:p>
        </w:tc>
        <w:tc>
          <w:tcPr>
            <w:tcW w:w="1973" w:type="dxa"/>
          </w:tcPr>
          <w:p w14:paraId="7C8AEBCC" w14:textId="77777777" w:rsidR="00364E9A" w:rsidRDefault="00000000">
            <w:r>
              <w:rPr>
                <w:color w:val="2D2D2D"/>
                <w:sz w:val="19"/>
              </w:rPr>
              <w:t>Avoid in first trimester because of folate antagonism / teratogenic risk.</w:t>
            </w:r>
          </w:p>
        </w:tc>
        <w:tc>
          <w:tcPr>
            <w:tcW w:w="1973" w:type="dxa"/>
          </w:tcPr>
          <w:p w14:paraId="7884FEA5" w14:textId="77777777" w:rsidR="00364E9A" w:rsidRDefault="00000000">
            <w:r>
              <w:rPr>
                <w:color w:val="2D2D2D"/>
                <w:sz w:val="19"/>
              </w:rPr>
              <w:t>Useful where local resistance patterns support it.</w:t>
            </w:r>
          </w:p>
        </w:tc>
      </w:tr>
      <w:tr w:rsidR="00364E9A" w14:paraId="1DF7523C" w14:textId="77777777">
        <w:trPr>
          <w:jc w:val="center"/>
        </w:trPr>
        <w:tc>
          <w:tcPr>
            <w:tcW w:w="1973" w:type="dxa"/>
          </w:tcPr>
          <w:p w14:paraId="6406952B" w14:textId="77777777" w:rsidR="00364E9A" w:rsidRDefault="00000000">
            <w:r>
              <w:rPr>
                <w:b/>
                <w:color w:val="2D2D2D"/>
                <w:sz w:val="19"/>
              </w:rPr>
              <w:t>Nitrofurantoin</w:t>
            </w:r>
          </w:p>
        </w:tc>
        <w:tc>
          <w:tcPr>
            <w:tcW w:w="1973" w:type="dxa"/>
          </w:tcPr>
          <w:p w14:paraId="6B958004" w14:textId="77777777" w:rsidR="00364E9A" w:rsidRDefault="00000000">
            <w:r>
              <w:rPr>
                <w:color w:val="2D2D2D"/>
                <w:sz w:val="19"/>
              </w:rPr>
              <w:t>100 mg single dose</w:t>
            </w:r>
          </w:p>
        </w:tc>
        <w:tc>
          <w:tcPr>
            <w:tcW w:w="1973" w:type="dxa"/>
          </w:tcPr>
          <w:p w14:paraId="615CFAC9" w14:textId="77777777" w:rsidR="00364E9A" w:rsidRDefault="00000000">
            <w:r>
              <w:rPr>
                <w:color w:val="2D2D2D"/>
                <w:sz w:val="19"/>
              </w:rPr>
              <w:t>50–100 mg at night</w:t>
            </w:r>
          </w:p>
        </w:tc>
        <w:tc>
          <w:tcPr>
            <w:tcW w:w="1973" w:type="dxa"/>
          </w:tcPr>
          <w:p w14:paraId="470DC90F" w14:textId="77777777" w:rsidR="00364E9A" w:rsidRDefault="00000000">
            <w:r>
              <w:rPr>
                <w:color w:val="2D2D2D"/>
                <w:sz w:val="19"/>
              </w:rPr>
              <w:t>Avoid if eGFR &lt;30 mL/min/1.73 m². Avoid at term in pregnancy because of neonatal haemolysis risk.</w:t>
            </w:r>
          </w:p>
        </w:tc>
        <w:tc>
          <w:tcPr>
            <w:tcW w:w="1973" w:type="dxa"/>
          </w:tcPr>
          <w:p w14:paraId="76E72EB2" w14:textId="77777777" w:rsidR="00364E9A" w:rsidRDefault="00000000">
            <w:r>
              <w:rPr>
                <w:color w:val="2D2D2D"/>
                <w:sz w:val="19"/>
              </w:rPr>
              <w:t>Monitor for pulmonary and hepatic toxicity with long-term use.</w:t>
            </w:r>
          </w:p>
        </w:tc>
      </w:tr>
      <w:tr w:rsidR="00364E9A" w14:paraId="59541A95" w14:textId="77777777">
        <w:trPr>
          <w:jc w:val="center"/>
        </w:trPr>
        <w:tc>
          <w:tcPr>
            <w:tcW w:w="1973" w:type="dxa"/>
          </w:tcPr>
          <w:p w14:paraId="341A8D1B" w14:textId="77777777" w:rsidR="00364E9A" w:rsidRDefault="00000000">
            <w:r>
              <w:rPr>
                <w:b/>
                <w:color w:val="2D2D2D"/>
                <w:sz w:val="19"/>
              </w:rPr>
              <w:t>Amoxicillin</w:t>
            </w:r>
          </w:p>
        </w:tc>
        <w:tc>
          <w:tcPr>
            <w:tcW w:w="1973" w:type="dxa"/>
          </w:tcPr>
          <w:p w14:paraId="79A41F52" w14:textId="77777777" w:rsidR="00364E9A" w:rsidRDefault="00000000">
            <w:r>
              <w:rPr>
                <w:color w:val="2D2D2D"/>
                <w:sz w:val="19"/>
              </w:rPr>
              <w:t>500 mg single dose</w:t>
            </w:r>
          </w:p>
        </w:tc>
        <w:tc>
          <w:tcPr>
            <w:tcW w:w="1973" w:type="dxa"/>
          </w:tcPr>
          <w:p w14:paraId="285276D0" w14:textId="77777777" w:rsidR="00364E9A" w:rsidRDefault="00000000">
            <w:r>
              <w:rPr>
                <w:color w:val="2D2D2D"/>
                <w:sz w:val="19"/>
              </w:rPr>
              <w:t>250 mg at night</w:t>
            </w:r>
          </w:p>
        </w:tc>
        <w:tc>
          <w:tcPr>
            <w:tcW w:w="1973" w:type="dxa"/>
          </w:tcPr>
          <w:p w14:paraId="7EA4E44C" w14:textId="77777777" w:rsidR="00364E9A" w:rsidRDefault="00000000">
            <w:r>
              <w:rPr>
                <w:color w:val="2D2D2D"/>
                <w:sz w:val="19"/>
              </w:rPr>
              <w:t xml:space="preserve">Use only when microbiology / susceptibility profile </w:t>
            </w:r>
            <w:r>
              <w:rPr>
                <w:color w:val="2D2D2D"/>
                <w:sz w:val="19"/>
              </w:rPr>
              <w:lastRenderedPageBreak/>
              <w:t>makes sense.</w:t>
            </w:r>
          </w:p>
        </w:tc>
        <w:tc>
          <w:tcPr>
            <w:tcW w:w="1973" w:type="dxa"/>
          </w:tcPr>
          <w:p w14:paraId="16D7368A" w14:textId="77777777" w:rsidR="00364E9A" w:rsidRDefault="00000000">
            <w:r>
              <w:rPr>
                <w:color w:val="2D2D2D"/>
                <w:sz w:val="19"/>
              </w:rPr>
              <w:lastRenderedPageBreak/>
              <w:t>Off-label for prophylaxis.</w:t>
            </w:r>
          </w:p>
        </w:tc>
      </w:tr>
      <w:tr w:rsidR="00364E9A" w14:paraId="55EFF615" w14:textId="77777777">
        <w:trPr>
          <w:jc w:val="center"/>
        </w:trPr>
        <w:tc>
          <w:tcPr>
            <w:tcW w:w="1973" w:type="dxa"/>
          </w:tcPr>
          <w:p w14:paraId="0A8CA6CA" w14:textId="77777777" w:rsidR="00364E9A" w:rsidRDefault="00000000">
            <w:r>
              <w:rPr>
                <w:b/>
                <w:color w:val="2D2D2D"/>
                <w:sz w:val="19"/>
              </w:rPr>
              <w:t>Cefalexin</w:t>
            </w:r>
          </w:p>
        </w:tc>
        <w:tc>
          <w:tcPr>
            <w:tcW w:w="1973" w:type="dxa"/>
          </w:tcPr>
          <w:p w14:paraId="50E752FF" w14:textId="77777777" w:rsidR="00364E9A" w:rsidRDefault="00000000">
            <w:r>
              <w:rPr>
                <w:color w:val="2D2D2D"/>
                <w:sz w:val="19"/>
              </w:rPr>
              <w:t>500 mg single dose</w:t>
            </w:r>
          </w:p>
        </w:tc>
        <w:tc>
          <w:tcPr>
            <w:tcW w:w="1973" w:type="dxa"/>
          </w:tcPr>
          <w:p w14:paraId="5567E2A4" w14:textId="77777777" w:rsidR="00364E9A" w:rsidRDefault="00000000">
            <w:r>
              <w:rPr>
                <w:color w:val="2D2D2D"/>
                <w:sz w:val="19"/>
              </w:rPr>
              <w:t>125 mg at night</w:t>
            </w:r>
          </w:p>
        </w:tc>
        <w:tc>
          <w:tcPr>
            <w:tcW w:w="1973" w:type="dxa"/>
          </w:tcPr>
          <w:p w14:paraId="0D6E9DE6" w14:textId="77777777" w:rsidR="00364E9A" w:rsidRDefault="00000000">
            <w:r>
              <w:rPr>
                <w:color w:val="2D2D2D"/>
                <w:sz w:val="19"/>
              </w:rPr>
              <w:t>Broader-spectrum option; consider AMR implications carefully.</w:t>
            </w:r>
          </w:p>
        </w:tc>
        <w:tc>
          <w:tcPr>
            <w:tcW w:w="1973" w:type="dxa"/>
          </w:tcPr>
          <w:p w14:paraId="67AC3EBE" w14:textId="77777777" w:rsidR="00364E9A" w:rsidRDefault="00000000">
            <w:r>
              <w:rPr>
                <w:color w:val="2D2D2D"/>
                <w:sz w:val="19"/>
              </w:rPr>
              <w:t>Off-label for prophylaxis.</w:t>
            </w:r>
          </w:p>
        </w:tc>
      </w:tr>
    </w:tbl>
    <w:p w14:paraId="71C07584" w14:textId="77777777" w:rsidR="00364E9A" w:rsidRDefault="00364E9A"/>
    <w:p w14:paraId="7F694CC0" w14:textId="77777777" w:rsidR="00364E9A" w:rsidRDefault="00000000">
      <w:pPr>
        <w:spacing w:before="280" w:after="120"/>
      </w:pPr>
      <w:r>
        <w:rPr>
          <w:b/>
          <w:color w:val="E0651F"/>
          <w:sz w:val="40"/>
        </w:rPr>
        <w:t>Methenamine hippurate: the major December 2024 update</w:t>
      </w:r>
    </w:p>
    <w:tbl>
      <w:tblPr>
        <w:tblW w:w="0" w:type="auto"/>
        <w:jc w:val="center"/>
        <w:tblBorders>
          <w:top w:val="single" w:sz="10" w:space="0" w:color="CFE2F3"/>
          <w:left w:val="single" w:sz="10" w:space="0" w:color="CFE2F3"/>
          <w:bottom w:val="single" w:sz="10" w:space="0" w:color="CFE2F3"/>
          <w:right w:val="single" w:sz="10" w:space="0" w:color="CFE2F3"/>
          <w:insideH w:val="single" w:sz="10" w:space="0" w:color="CFE2F3"/>
          <w:insideV w:val="single" w:sz="10" w:space="0" w:color="CFE2F3"/>
        </w:tblBorders>
        <w:tblLook w:val="04A0" w:firstRow="1" w:lastRow="0" w:firstColumn="1" w:lastColumn="0" w:noHBand="0" w:noVBand="1"/>
      </w:tblPr>
      <w:tblGrid>
        <w:gridCol w:w="9866"/>
      </w:tblGrid>
      <w:tr w:rsidR="00364E9A" w14:paraId="1D91F50F" w14:textId="77777777">
        <w:trPr>
          <w:jc w:val="center"/>
        </w:trPr>
        <w:tc>
          <w:tcPr>
            <w:tcW w:w="9866" w:type="dxa"/>
            <w:shd w:val="clear" w:color="auto" w:fill="F3F8FD"/>
          </w:tcPr>
          <w:p w14:paraId="05B24F13" w14:textId="77777777" w:rsidR="00364E9A" w:rsidRDefault="00000000">
            <w:r>
              <w:rPr>
                <w:b/>
                <w:color w:val="1F4E79"/>
                <w:sz w:val="26"/>
              </w:rPr>
              <w:t>Methenamine hippurate 1 g twice daily</w:t>
            </w:r>
          </w:p>
          <w:p w14:paraId="24903FFB" w14:textId="77777777" w:rsidR="00364E9A" w:rsidRDefault="00000000">
            <w:r>
              <w:rPr>
                <w:color w:val="2D2D2D"/>
                <w:sz w:val="21"/>
              </w:rPr>
              <w:t>• Consider as an alternative to daily antibiotic prophylaxis where appropriate.</w:t>
            </w:r>
          </w:p>
          <w:p w14:paraId="4CF33CE0" w14:textId="77777777" w:rsidR="00364E9A" w:rsidRDefault="00000000">
            <w:r>
              <w:rPr>
                <w:color w:val="2D2D2D"/>
                <w:sz w:val="21"/>
              </w:rPr>
              <w:t>• Use after any current UTI has been adequately treated and where steps 1–3 have not been effective enough.</w:t>
            </w:r>
          </w:p>
          <w:p w14:paraId="2A733C29" w14:textId="77777777" w:rsidR="00364E9A" w:rsidRDefault="00000000">
            <w:r>
              <w:rPr>
                <w:color w:val="2D2D2D"/>
                <w:sz w:val="21"/>
              </w:rPr>
              <w:t>• Do not use with urinary alkalinising sachets such as potassium citrate or sodium citrate because these reduce effectiveness.</w:t>
            </w:r>
          </w:p>
          <w:p w14:paraId="21D7C21E" w14:textId="77777777" w:rsidR="00364E9A" w:rsidRDefault="00000000">
            <w:r>
              <w:rPr>
                <w:color w:val="2D2D2D"/>
                <w:sz w:val="21"/>
              </w:rPr>
              <w:t>• Not appropriate in pregnancy without specialist input.</w:t>
            </w:r>
          </w:p>
          <w:p w14:paraId="6D3ECED7" w14:textId="77777777" w:rsidR="00364E9A" w:rsidRDefault="00000000">
            <w:r>
              <w:rPr>
                <w:color w:val="2D2D2D"/>
                <w:sz w:val="21"/>
              </w:rPr>
              <w:t>• NICE highlights off-label use in upper UTI and complicated lower UTI; seek specialist advice in these settings.</w:t>
            </w:r>
          </w:p>
        </w:tc>
      </w:tr>
    </w:tbl>
    <w:p w14:paraId="03730A1C" w14:textId="77777777" w:rsidR="00364E9A" w:rsidRDefault="00364E9A"/>
    <w:p w14:paraId="6F57767D" w14:textId="77777777" w:rsidR="00364E9A" w:rsidRDefault="00000000">
      <w:pPr>
        <w:spacing w:before="280" w:after="120"/>
      </w:pPr>
      <w:r>
        <w:rPr>
          <w:b/>
          <w:color w:val="E0651F"/>
          <w:sz w:val="40"/>
        </w:rPr>
        <w:t>Review requirements</w:t>
      </w:r>
    </w:p>
    <w:p w14:paraId="09697A99" w14:textId="77777777" w:rsidR="00364E9A" w:rsidRDefault="00000000">
      <w:pPr>
        <w:spacing w:after="120"/>
      </w:pPr>
      <w:r>
        <w:rPr>
          <w:color w:val="333333"/>
        </w:rPr>
        <w:t>NICE recommends an initial review within 6 months, then every 12 months thereafter, or sooner if a different interval is agreed.</w:t>
      </w:r>
    </w:p>
    <w:tbl>
      <w:tblPr>
        <w:tblW w:w="0" w:type="auto"/>
        <w:jc w:val="center"/>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ook w:val="04A0" w:firstRow="1" w:lastRow="0" w:firstColumn="1" w:lastColumn="0" w:noHBand="0" w:noVBand="1"/>
      </w:tblPr>
      <w:tblGrid>
        <w:gridCol w:w="4933"/>
        <w:gridCol w:w="4933"/>
      </w:tblGrid>
      <w:tr w:rsidR="00364E9A" w14:paraId="1683999D" w14:textId="77777777">
        <w:trPr>
          <w:jc w:val="center"/>
        </w:trPr>
        <w:tc>
          <w:tcPr>
            <w:tcW w:w="4933" w:type="dxa"/>
            <w:shd w:val="clear" w:color="auto" w:fill="FCE5CD"/>
          </w:tcPr>
          <w:p w14:paraId="2E90E353" w14:textId="77777777" w:rsidR="00364E9A" w:rsidRDefault="00000000">
            <w:r>
              <w:rPr>
                <w:b/>
                <w:color w:val="3C3C3C"/>
              </w:rPr>
              <w:t>Timing</w:t>
            </w:r>
          </w:p>
        </w:tc>
        <w:tc>
          <w:tcPr>
            <w:tcW w:w="4933" w:type="dxa"/>
            <w:shd w:val="clear" w:color="auto" w:fill="FCE5CD"/>
          </w:tcPr>
          <w:p w14:paraId="076DB349" w14:textId="77777777" w:rsidR="00364E9A" w:rsidRDefault="00000000">
            <w:r>
              <w:rPr>
                <w:b/>
                <w:color w:val="3C3C3C"/>
              </w:rPr>
              <w:t>What to cover</w:t>
            </w:r>
          </w:p>
        </w:tc>
      </w:tr>
      <w:tr w:rsidR="00364E9A" w14:paraId="0B5B1B8B" w14:textId="77777777">
        <w:trPr>
          <w:jc w:val="center"/>
        </w:trPr>
        <w:tc>
          <w:tcPr>
            <w:tcW w:w="4933" w:type="dxa"/>
          </w:tcPr>
          <w:p w14:paraId="51A8E850" w14:textId="77777777" w:rsidR="00364E9A" w:rsidRDefault="00000000">
            <w:r>
              <w:rPr>
                <w:b/>
                <w:color w:val="2D2D2D"/>
                <w:sz w:val="20"/>
              </w:rPr>
              <w:t>Initial review: within 6 months</w:t>
            </w:r>
          </w:p>
        </w:tc>
        <w:tc>
          <w:tcPr>
            <w:tcW w:w="4933" w:type="dxa"/>
          </w:tcPr>
          <w:p w14:paraId="57E51B74" w14:textId="77777777" w:rsidR="00364E9A" w:rsidRDefault="00000000">
            <w:r>
              <w:rPr>
                <w:color w:val="2D2D2D"/>
                <w:sz w:val="20"/>
              </w:rPr>
              <w:t>Assess whether prophylaxis has reduced UTI frequency or symptom burden; check side effects, adherence, and whether the original indication remains valid.</w:t>
            </w:r>
          </w:p>
        </w:tc>
      </w:tr>
      <w:tr w:rsidR="00364E9A" w14:paraId="594AC750" w14:textId="77777777">
        <w:trPr>
          <w:jc w:val="center"/>
        </w:trPr>
        <w:tc>
          <w:tcPr>
            <w:tcW w:w="4933" w:type="dxa"/>
          </w:tcPr>
          <w:p w14:paraId="413C5446" w14:textId="77777777" w:rsidR="00364E9A" w:rsidRDefault="00000000">
            <w:r>
              <w:rPr>
                <w:b/>
                <w:color w:val="2D2D2D"/>
                <w:sz w:val="20"/>
              </w:rPr>
              <w:t>Ongoing review: every 12 months (or sooner if agreed)</w:t>
            </w:r>
          </w:p>
        </w:tc>
        <w:tc>
          <w:tcPr>
            <w:tcW w:w="4933" w:type="dxa"/>
          </w:tcPr>
          <w:p w14:paraId="4279E4C9" w14:textId="77777777" w:rsidR="00364E9A" w:rsidRDefault="00000000">
            <w:r>
              <w:rPr>
                <w:color w:val="2D2D2D"/>
                <w:sz w:val="20"/>
              </w:rPr>
              <w:t>Discuss continuing, stopping, or changing prophylaxis; reinforce behavioural measures and self-care; review AMR risk; check whether rapid access arrangements are in place for acute treatment if prophylaxis is stopped.</w:t>
            </w:r>
          </w:p>
        </w:tc>
      </w:tr>
    </w:tbl>
    <w:p w14:paraId="24CD2F2A" w14:textId="77777777" w:rsidR="00364E9A" w:rsidRDefault="00364E9A"/>
    <w:p w14:paraId="1D1D68AC" w14:textId="77777777" w:rsidR="006959CC" w:rsidRDefault="006959CC">
      <w:pPr>
        <w:rPr>
          <w:b/>
          <w:color w:val="E0651F"/>
          <w:sz w:val="40"/>
        </w:rPr>
      </w:pPr>
      <w:r>
        <w:rPr>
          <w:b/>
          <w:color w:val="E0651F"/>
          <w:sz w:val="40"/>
        </w:rPr>
        <w:br w:type="page"/>
      </w:r>
    </w:p>
    <w:p w14:paraId="6E9735B2" w14:textId="2550857A" w:rsidR="00364E9A" w:rsidRDefault="00000000">
      <w:pPr>
        <w:spacing w:before="280" w:after="120"/>
      </w:pPr>
      <w:r>
        <w:rPr>
          <w:b/>
          <w:color w:val="E0651F"/>
          <w:sz w:val="40"/>
        </w:rPr>
        <w:lastRenderedPageBreak/>
        <w:t>When to seek specialist advice / refer</w:t>
      </w:r>
    </w:p>
    <w:tbl>
      <w:tblPr>
        <w:tblW w:w="0" w:type="auto"/>
        <w:jc w:val="center"/>
        <w:tblBorders>
          <w:top w:val="single" w:sz="10" w:space="0" w:color="F4CCCC"/>
          <w:left w:val="single" w:sz="10" w:space="0" w:color="F4CCCC"/>
          <w:bottom w:val="single" w:sz="10" w:space="0" w:color="F4CCCC"/>
          <w:right w:val="single" w:sz="10" w:space="0" w:color="F4CCCC"/>
          <w:insideH w:val="single" w:sz="10" w:space="0" w:color="F4CCCC"/>
          <w:insideV w:val="single" w:sz="10" w:space="0" w:color="F4CCCC"/>
        </w:tblBorders>
        <w:tblLook w:val="04A0" w:firstRow="1" w:lastRow="0" w:firstColumn="1" w:lastColumn="0" w:noHBand="0" w:noVBand="1"/>
      </w:tblPr>
      <w:tblGrid>
        <w:gridCol w:w="9866"/>
      </w:tblGrid>
      <w:tr w:rsidR="00364E9A" w14:paraId="1EBC5B85" w14:textId="77777777">
        <w:trPr>
          <w:jc w:val="center"/>
        </w:trPr>
        <w:tc>
          <w:tcPr>
            <w:tcW w:w="9866" w:type="dxa"/>
            <w:shd w:val="clear" w:color="auto" w:fill="FFF5F5"/>
          </w:tcPr>
          <w:p w14:paraId="39F3ECE5" w14:textId="77777777" w:rsidR="00364E9A" w:rsidRDefault="00000000">
            <w:r>
              <w:rPr>
                <w:b/>
                <w:color w:val="990000"/>
                <w:sz w:val="26"/>
              </w:rPr>
              <w:t>Specialist advice is recommended for:</w:t>
            </w:r>
          </w:p>
          <w:p w14:paraId="5DD3D126" w14:textId="77777777" w:rsidR="00364E9A" w:rsidRDefault="00000000">
            <w:r>
              <w:rPr>
                <w:color w:val="2D2D2D"/>
                <w:sz w:val="21"/>
              </w:rPr>
              <w:t>• Men of any age.</w:t>
            </w:r>
          </w:p>
          <w:p w14:paraId="220B9558" w14:textId="77777777" w:rsidR="00364E9A" w:rsidRDefault="00000000">
            <w:r>
              <w:rPr>
                <w:color w:val="2D2D2D"/>
                <w:sz w:val="21"/>
              </w:rPr>
              <w:t>• Recurrent upper UTI.</w:t>
            </w:r>
          </w:p>
          <w:p w14:paraId="316D1215" w14:textId="77777777" w:rsidR="00364E9A" w:rsidRDefault="00000000">
            <w:r>
              <w:rPr>
                <w:color w:val="2D2D2D"/>
                <w:sz w:val="21"/>
              </w:rPr>
              <w:t>• Recurrent UTI with an unknown cause.</w:t>
            </w:r>
          </w:p>
          <w:p w14:paraId="405B838D" w14:textId="77777777" w:rsidR="00364E9A" w:rsidRDefault="00000000">
            <w:r>
              <w:rPr>
                <w:color w:val="2D2D2D"/>
                <w:sz w:val="21"/>
              </w:rPr>
              <w:t>• Pregnant women.</w:t>
            </w:r>
          </w:p>
          <w:p w14:paraId="11D27C7C" w14:textId="77777777" w:rsidR="00364E9A" w:rsidRDefault="00000000">
            <w:r>
              <w:rPr>
                <w:color w:val="2D2D2D"/>
                <w:sz w:val="21"/>
              </w:rPr>
              <w:t>• Children and young people under 16 years.</w:t>
            </w:r>
          </w:p>
          <w:p w14:paraId="52FE66BB" w14:textId="77777777" w:rsidR="00364E9A" w:rsidRDefault="00000000">
            <w:r>
              <w:rPr>
                <w:color w:val="2D2D2D"/>
                <w:sz w:val="21"/>
              </w:rPr>
              <w:t>• Anyone with gender reassignment involving the urethra.</w:t>
            </w:r>
          </w:p>
          <w:p w14:paraId="04B7EAEE" w14:textId="77777777" w:rsidR="00364E9A" w:rsidRDefault="00000000">
            <w:r>
              <w:rPr>
                <w:color w:val="2D2D2D"/>
                <w:sz w:val="21"/>
              </w:rPr>
              <w:t>• Complicated lower UTI or any presentation suggesting structural or functional urinary tract abnormality.</w:t>
            </w:r>
          </w:p>
        </w:tc>
      </w:tr>
    </w:tbl>
    <w:p w14:paraId="6465A8C3" w14:textId="77777777" w:rsidR="00364E9A" w:rsidRDefault="00000000">
      <w:pPr>
        <w:spacing w:before="280" w:after="120"/>
      </w:pPr>
      <w:r>
        <w:rPr>
          <w:b/>
          <w:color w:val="E0651F"/>
          <w:sz w:val="40"/>
        </w:rPr>
        <w:t>Antimicrobial stewardship pearls</w:t>
      </w:r>
    </w:p>
    <w:p w14:paraId="2B081F53" w14:textId="77777777" w:rsidR="00364E9A" w:rsidRDefault="00000000">
      <w:pPr>
        <w:spacing w:after="60"/>
        <w:ind w:left="340"/>
      </w:pPr>
      <w:r>
        <w:t>• Long-term prophylaxis must always be justified, time-bounded, and reviewed; prolonged automatic repeat prescribing is poor stewardship.</w:t>
      </w:r>
    </w:p>
    <w:p w14:paraId="71A68EDD" w14:textId="77777777" w:rsidR="00364E9A" w:rsidRDefault="00000000">
      <w:pPr>
        <w:spacing w:after="60"/>
        <w:ind w:left="340"/>
      </w:pPr>
      <w:r>
        <w:t>• Check local antimicrobial resistance patterns when selecting an agent.</w:t>
      </w:r>
    </w:p>
    <w:p w14:paraId="1DC39AB7" w14:textId="77777777" w:rsidR="00364E9A" w:rsidRDefault="00000000">
      <w:pPr>
        <w:spacing w:after="60"/>
        <w:ind w:left="340"/>
      </w:pPr>
      <w:r>
        <w:t>• Nitrofurantoin requires awareness of MHRA advice on pulmonary and hepatic adverse effects during long-term use.</w:t>
      </w:r>
    </w:p>
    <w:p w14:paraId="74131DA4" w14:textId="77777777" w:rsidR="00364E9A" w:rsidRDefault="00000000">
      <w:pPr>
        <w:spacing w:after="60"/>
        <w:ind w:left="340"/>
      </w:pPr>
      <w:r>
        <w:t>• Trimethoprim is a folate antagonist and should be avoided in the first trimester unless specialist advice supports otherwise.</w:t>
      </w:r>
    </w:p>
    <w:p w14:paraId="1C652181" w14:textId="77777777" w:rsidR="00364E9A" w:rsidRDefault="00000000">
      <w:pPr>
        <w:spacing w:after="60"/>
        <w:ind w:left="340"/>
      </w:pPr>
      <w:r>
        <w:t>• Nitrofurantoin should be avoided at term in pregnancy and avoided if eGFR is below 30 mL/min/1.73 m².</w:t>
      </w:r>
    </w:p>
    <w:p w14:paraId="6EC30E54" w14:textId="77777777" w:rsidR="00364E9A" w:rsidRDefault="00000000">
      <w:pPr>
        <w:spacing w:after="60"/>
        <w:ind w:left="340"/>
      </w:pPr>
      <w:r>
        <w:t>• Rotational strategies may sometimes be considered, but only if this makes microbiological and specialist sense rather than becoming habitual prescribing.</w:t>
      </w:r>
    </w:p>
    <w:tbl>
      <w:tblPr>
        <w:tblW w:w="0" w:type="auto"/>
        <w:jc w:val="center"/>
        <w:tblBorders>
          <w:top w:val="single" w:sz="10" w:space="0" w:color="EADCF8"/>
          <w:left w:val="single" w:sz="10" w:space="0" w:color="EADCF8"/>
          <w:bottom w:val="single" w:sz="10" w:space="0" w:color="EADCF8"/>
          <w:right w:val="single" w:sz="10" w:space="0" w:color="EADCF8"/>
          <w:insideH w:val="single" w:sz="10" w:space="0" w:color="EADCF8"/>
          <w:insideV w:val="single" w:sz="10" w:space="0" w:color="EADCF8"/>
        </w:tblBorders>
        <w:tblLook w:val="04A0" w:firstRow="1" w:lastRow="0" w:firstColumn="1" w:lastColumn="0" w:noHBand="0" w:noVBand="1"/>
      </w:tblPr>
      <w:tblGrid>
        <w:gridCol w:w="9866"/>
      </w:tblGrid>
      <w:tr w:rsidR="00364E9A" w14:paraId="4A63FF04" w14:textId="77777777">
        <w:trPr>
          <w:jc w:val="center"/>
        </w:trPr>
        <w:tc>
          <w:tcPr>
            <w:tcW w:w="9866" w:type="dxa"/>
            <w:shd w:val="clear" w:color="auto" w:fill="EADCF8"/>
            <w:vAlign w:val="center"/>
          </w:tcPr>
          <w:p w14:paraId="4C099CC2" w14:textId="77777777" w:rsidR="00364E9A" w:rsidRDefault="00000000">
            <w:pPr>
              <w:spacing w:before="40" w:after="80"/>
            </w:pPr>
            <w:r>
              <w:rPr>
                <w:b/>
                <w:color w:val="573181"/>
                <w:sz w:val="26"/>
              </w:rPr>
              <w:t>AKT exam tips</w:t>
            </w:r>
          </w:p>
          <w:p w14:paraId="27CF9C37" w14:textId="77777777" w:rsidR="00364E9A" w:rsidRDefault="00000000">
            <w:pPr>
              <w:spacing w:after="40"/>
            </w:pPr>
            <w:r>
              <w:rPr>
                <w:color w:val="373737"/>
                <w:sz w:val="21"/>
              </w:rPr>
              <w:t>• Remember the NICE step order: behavioural measures → vaginal oestrogen if appropriate → single-dose antibiotics → methenamine hippurate → daily antibiotics.</w:t>
            </w:r>
          </w:p>
          <w:p w14:paraId="62A8A65F" w14:textId="77777777" w:rsidR="00364E9A" w:rsidRDefault="00000000">
            <w:pPr>
              <w:spacing w:after="40"/>
            </w:pPr>
            <w:r>
              <w:rPr>
                <w:color w:val="373737"/>
                <w:sz w:val="21"/>
              </w:rPr>
              <w:t>• Know the definition: 2 UTIs in 6 months or 3 in 12 months.</w:t>
            </w:r>
          </w:p>
          <w:p w14:paraId="7B0373C8" w14:textId="77777777" w:rsidR="00364E9A" w:rsidRDefault="00000000">
            <w:pPr>
              <w:spacing w:after="40"/>
            </w:pPr>
            <w:r>
              <w:rPr>
                <w:color w:val="373737"/>
                <w:sz w:val="21"/>
              </w:rPr>
              <w:t>• Methenamine hippurate is the headline December 2024 update and is an alternative to daily antibiotics.</w:t>
            </w:r>
          </w:p>
          <w:p w14:paraId="4E7DC7BA" w14:textId="77777777" w:rsidR="00364E9A" w:rsidRDefault="00000000">
            <w:pPr>
              <w:spacing w:after="40"/>
            </w:pPr>
            <w:r>
              <w:rPr>
                <w:color w:val="373737"/>
                <w:sz w:val="21"/>
              </w:rPr>
              <w:t>• The first routine review point for prophylaxis is within 6 months, not “whenever repeats are next checked”.</w:t>
            </w:r>
          </w:p>
        </w:tc>
      </w:tr>
    </w:tbl>
    <w:p w14:paraId="793B0B20" w14:textId="77777777" w:rsidR="00364E9A" w:rsidRDefault="00364E9A"/>
    <w:tbl>
      <w:tblPr>
        <w:tblW w:w="0" w:type="auto"/>
        <w:jc w:val="center"/>
        <w:tblBorders>
          <w:top w:val="single" w:sz="10" w:space="0" w:color="D9F0F0"/>
          <w:left w:val="single" w:sz="10" w:space="0" w:color="D9F0F0"/>
          <w:bottom w:val="single" w:sz="10" w:space="0" w:color="D9F0F0"/>
          <w:right w:val="single" w:sz="10" w:space="0" w:color="D9F0F0"/>
          <w:insideH w:val="single" w:sz="10" w:space="0" w:color="D9F0F0"/>
          <w:insideV w:val="single" w:sz="10" w:space="0" w:color="D9F0F0"/>
        </w:tblBorders>
        <w:tblLook w:val="04A0" w:firstRow="1" w:lastRow="0" w:firstColumn="1" w:lastColumn="0" w:noHBand="0" w:noVBand="1"/>
      </w:tblPr>
      <w:tblGrid>
        <w:gridCol w:w="9866"/>
      </w:tblGrid>
      <w:tr w:rsidR="00364E9A" w14:paraId="413925ED" w14:textId="77777777">
        <w:trPr>
          <w:jc w:val="center"/>
        </w:trPr>
        <w:tc>
          <w:tcPr>
            <w:tcW w:w="9866" w:type="dxa"/>
            <w:shd w:val="clear" w:color="auto" w:fill="D9F0F0"/>
            <w:vAlign w:val="center"/>
          </w:tcPr>
          <w:p w14:paraId="6926C02F" w14:textId="77777777" w:rsidR="00364E9A" w:rsidRDefault="00000000">
            <w:pPr>
              <w:spacing w:before="40" w:after="80"/>
            </w:pPr>
            <w:r>
              <w:rPr>
                <w:b/>
                <w:color w:val="006666"/>
                <w:sz w:val="26"/>
              </w:rPr>
              <w:t>SCA tips</w:t>
            </w:r>
          </w:p>
          <w:p w14:paraId="0EA7CB21" w14:textId="77777777" w:rsidR="00364E9A" w:rsidRDefault="00000000">
            <w:pPr>
              <w:spacing w:after="40"/>
            </w:pPr>
            <w:r>
              <w:rPr>
                <w:color w:val="373737"/>
                <w:sz w:val="21"/>
              </w:rPr>
              <w:t>• Show shared decision making: explore the burden of recurrent infections, previous triggers, and patient preference before jumping to antibiotics.</w:t>
            </w:r>
          </w:p>
          <w:p w14:paraId="562874B9" w14:textId="77777777" w:rsidR="00364E9A" w:rsidRDefault="00000000">
            <w:pPr>
              <w:spacing w:after="40"/>
            </w:pPr>
            <w:r>
              <w:rPr>
                <w:color w:val="373737"/>
                <w:sz w:val="21"/>
              </w:rPr>
              <w:t>• Demonstrate safety-netting: explain when to seek help for acute symptoms, fever, flank pain, or deterioration.</w:t>
            </w:r>
          </w:p>
          <w:p w14:paraId="6912BED6" w14:textId="77777777" w:rsidR="00364E9A" w:rsidRDefault="00000000">
            <w:pPr>
              <w:spacing w:after="40"/>
            </w:pPr>
            <w:r>
              <w:rPr>
                <w:color w:val="373737"/>
                <w:sz w:val="21"/>
              </w:rPr>
              <w:t>• Mention non-antibiotic options proactively, especially vaginal oestrogen and methenamine hippurate where suitable.</w:t>
            </w:r>
          </w:p>
          <w:p w14:paraId="0F300B96" w14:textId="77777777" w:rsidR="00364E9A" w:rsidRDefault="00000000">
            <w:pPr>
              <w:spacing w:after="40"/>
            </w:pPr>
            <w:r>
              <w:rPr>
                <w:color w:val="373737"/>
                <w:sz w:val="21"/>
              </w:rPr>
              <w:t>• If the patient falls into a specialist group (for example male, pregnant, recurrent upper UTI), say clearly that you would seek specialist advice.</w:t>
            </w:r>
          </w:p>
        </w:tc>
      </w:tr>
    </w:tbl>
    <w:p w14:paraId="4870C3EC" w14:textId="77777777" w:rsidR="00364E9A" w:rsidRDefault="00364E9A"/>
    <w:tbl>
      <w:tblPr>
        <w:tblW w:w="0" w:type="auto"/>
        <w:jc w:val="center"/>
        <w:tblBorders>
          <w:top w:val="single" w:sz="10" w:space="0" w:color="F4CCCC"/>
          <w:left w:val="single" w:sz="10" w:space="0" w:color="F4CCCC"/>
          <w:bottom w:val="single" w:sz="10" w:space="0" w:color="F4CCCC"/>
          <w:right w:val="single" w:sz="10" w:space="0" w:color="F4CCCC"/>
          <w:insideH w:val="single" w:sz="10" w:space="0" w:color="F4CCCC"/>
          <w:insideV w:val="single" w:sz="10" w:space="0" w:color="F4CCCC"/>
        </w:tblBorders>
        <w:tblLook w:val="04A0" w:firstRow="1" w:lastRow="0" w:firstColumn="1" w:lastColumn="0" w:noHBand="0" w:noVBand="1"/>
      </w:tblPr>
      <w:tblGrid>
        <w:gridCol w:w="9866"/>
      </w:tblGrid>
      <w:tr w:rsidR="00364E9A" w14:paraId="7CBFE6F9" w14:textId="77777777">
        <w:trPr>
          <w:jc w:val="center"/>
        </w:trPr>
        <w:tc>
          <w:tcPr>
            <w:tcW w:w="9866" w:type="dxa"/>
            <w:shd w:val="clear" w:color="auto" w:fill="F4CCCC"/>
            <w:vAlign w:val="center"/>
          </w:tcPr>
          <w:p w14:paraId="291911DF" w14:textId="77777777" w:rsidR="00364E9A" w:rsidRDefault="00000000">
            <w:pPr>
              <w:spacing w:before="40" w:after="80"/>
            </w:pPr>
            <w:r>
              <w:rPr>
                <w:b/>
                <w:color w:val="990000"/>
                <w:sz w:val="26"/>
              </w:rPr>
              <w:t>Red flags box</w:t>
            </w:r>
          </w:p>
          <w:p w14:paraId="41CF6962" w14:textId="77777777" w:rsidR="00364E9A" w:rsidRDefault="00000000">
            <w:pPr>
              <w:spacing w:after="40"/>
            </w:pPr>
            <w:r>
              <w:rPr>
                <w:color w:val="373737"/>
                <w:sz w:val="21"/>
              </w:rPr>
              <w:t>• Fever, rigors, loin pain, or systemic upset suggesting upper UTI / pyelonephritis.</w:t>
            </w:r>
          </w:p>
          <w:p w14:paraId="4D0AB87B" w14:textId="77777777" w:rsidR="00364E9A" w:rsidRDefault="00000000">
            <w:pPr>
              <w:spacing w:after="40"/>
            </w:pPr>
            <w:r>
              <w:rPr>
                <w:color w:val="373737"/>
                <w:sz w:val="21"/>
              </w:rPr>
              <w:t>• Haematuria, persistent pain, or recurrent infection with possible underlying malignancy / stone / obstruction.</w:t>
            </w:r>
          </w:p>
          <w:p w14:paraId="2F542565" w14:textId="77777777" w:rsidR="00364E9A" w:rsidRDefault="00000000">
            <w:pPr>
              <w:spacing w:after="40"/>
            </w:pPr>
            <w:r>
              <w:rPr>
                <w:color w:val="373737"/>
                <w:sz w:val="21"/>
              </w:rPr>
              <w:t>• Sepsis risk, significant frailty, immunosuppression, or inability to maintain oral intake.</w:t>
            </w:r>
          </w:p>
          <w:p w14:paraId="4A2B5DF2" w14:textId="77777777" w:rsidR="00364E9A" w:rsidRDefault="00000000">
            <w:pPr>
              <w:spacing w:after="40"/>
            </w:pPr>
            <w:r>
              <w:rPr>
                <w:color w:val="373737"/>
                <w:sz w:val="21"/>
              </w:rPr>
              <w:t>• Pregnancy, male sex, childhood, or anatomical complexity requiring a lower threshold for specialist discussion.</w:t>
            </w:r>
          </w:p>
        </w:tc>
      </w:tr>
    </w:tbl>
    <w:p w14:paraId="690CEB65" w14:textId="77777777" w:rsidR="00364E9A" w:rsidRDefault="00364E9A"/>
    <w:tbl>
      <w:tblPr>
        <w:tblW w:w="0" w:type="auto"/>
        <w:jc w:val="center"/>
        <w:tblBorders>
          <w:top w:val="single" w:sz="10" w:space="0" w:color="FCE5CD"/>
          <w:left w:val="single" w:sz="10" w:space="0" w:color="FCE5CD"/>
          <w:bottom w:val="single" w:sz="10" w:space="0" w:color="FCE5CD"/>
          <w:right w:val="single" w:sz="10" w:space="0" w:color="FCE5CD"/>
          <w:insideH w:val="single" w:sz="10" w:space="0" w:color="FCE5CD"/>
          <w:insideV w:val="single" w:sz="10" w:space="0" w:color="FCE5CD"/>
        </w:tblBorders>
        <w:tblLook w:val="04A0" w:firstRow="1" w:lastRow="0" w:firstColumn="1" w:lastColumn="0" w:noHBand="0" w:noVBand="1"/>
      </w:tblPr>
      <w:tblGrid>
        <w:gridCol w:w="9866"/>
      </w:tblGrid>
      <w:tr w:rsidR="00364E9A" w14:paraId="2EB929B7" w14:textId="77777777">
        <w:trPr>
          <w:jc w:val="center"/>
        </w:trPr>
        <w:tc>
          <w:tcPr>
            <w:tcW w:w="9866" w:type="dxa"/>
            <w:shd w:val="clear" w:color="auto" w:fill="FCE5CD"/>
            <w:vAlign w:val="center"/>
          </w:tcPr>
          <w:p w14:paraId="2FAF7528" w14:textId="77777777" w:rsidR="00364E9A" w:rsidRDefault="00000000">
            <w:pPr>
              <w:spacing w:before="40" w:after="80"/>
            </w:pPr>
            <w:r>
              <w:rPr>
                <w:b/>
                <w:color w:val="B45F06"/>
                <w:sz w:val="26"/>
              </w:rPr>
              <w:t>Common pitfalls box</w:t>
            </w:r>
          </w:p>
          <w:p w14:paraId="792E55D8" w14:textId="77777777" w:rsidR="00364E9A" w:rsidRDefault="00000000">
            <w:pPr>
              <w:spacing w:after="40"/>
            </w:pPr>
            <w:r>
              <w:rPr>
                <w:color w:val="373737"/>
                <w:sz w:val="21"/>
              </w:rPr>
              <w:t>• Continuing prophylaxis for years because it sits on repeat rather than because it remains indicated.</w:t>
            </w:r>
          </w:p>
          <w:p w14:paraId="01A04944" w14:textId="77777777" w:rsidR="00364E9A" w:rsidRDefault="00000000">
            <w:pPr>
              <w:spacing w:after="40"/>
            </w:pPr>
            <w:r>
              <w:rPr>
                <w:color w:val="373737"/>
                <w:sz w:val="21"/>
              </w:rPr>
              <w:t>• Skipping behavioural advice and moving too quickly to daily antibiotics.</w:t>
            </w:r>
          </w:p>
          <w:p w14:paraId="7D276AAD" w14:textId="77777777" w:rsidR="00364E9A" w:rsidRDefault="00000000">
            <w:pPr>
              <w:spacing w:after="40"/>
            </w:pPr>
            <w:r>
              <w:rPr>
                <w:color w:val="373737"/>
                <w:sz w:val="21"/>
              </w:rPr>
              <w:t>• Forgetting to review renal function, pregnancy status, or nitrofurantoin contraindications.</w:t>
            </w:r>
          </w:p>
          <w:p w14:paraId="6C3458CC" w14:textId="77777777" w:rsidR="00364E9A" w:rsidRDefault="00000000">
            <w:pPr>
              <w:spacing w:after="40"/>
            </w:pPr>
            <w:r>
              <w:rPr>
                <w:color w:val="373737"/>
                <w:sz w:val="21"/>
              </w:rPr>
              <w:t>• Using urinary alkalinising sachets with methenamine hippurate.</w:t>
            </w:r>
          </w:p>
          <w:p w14:paraId="2F3F6958" w14:textId="77777777" w:rsidR="00364E9A" w:rsidRDefault="00000000">
            <w:pPr>
              <w:spacing w:after="40"/>
            </w:pPr>
            <w:r>
              <w:rPr>
                <w:color w:val="373737"/>
                <w:sz w:val="21"/>
              </w:rPr>
              <w:t>• Failing to explain antimicrobial resistance risks and what the patient should do if prophylaxis is stopped.</w:t>
            </w:r>
          </w:p>
        </w:tc>
      </w:tr>
    </w:tbl>
    <w:p w14:paraId="108215AB" w14:textId="77777777" w:rsidR="00364E9A" w:rsidRDefault="00364E9A"/>
    <w:p w14:paraId="6985FFD5" w14:textId="77777777" w:rsidR="00364E9A" w:rsidRDefault="00000000">
      <w:pPr>
        <w:spacing w:before="280" w:after="120"/>
      </w:pPr>
      <w:r>
        <w:rPr>
          <w:b/>
          <w:color w:val="E0651F"/>
          <w:sz w:val="40"/>
        </w:rPr>
        <w:t>Key references</w:t>
      </w:r>
    </w:p>
    <w:p w14:paraId="54B48FDB" w14:textId="77777777" w:rsidR="00364E9A" w:rsidRDefault="00000000">
      <w:pPr>
        <w:ind w:left="227"/>
      </w:pPr>
      <w:r>
        <w:rPr>
          <w:color w:val="2D2D2D"/>
          <w:sz w:val="20"/>
        </w:rPr>
        <w:t>NICE. Urinary tract infection (recurrent): antimicrobial prescribing. NG112. Last reviewed December 2024. https://www.nice.org.uk/guidance/ng112</w:t>
      </w:r>
    </w:p>
    <w:p w14:paraId="2DFF999B" w14:textId="77777777" w:rsidR="00364E9A" w:rsidRDefault="00000000">
      <w:pPr>
        <w:ind w:left="227"/>
      </w:pPr>
      <w:r>
        <w:rPr>
          <w:color w:val="2D2D2D"/>
          <w:sz w:val="20"/>
        </w:rPr>
        <w:t>NICE. Visual summary and prescribing recommendations supporting NG112 recurrent UTI guidance. https://www.nice.org.uk/guidance/ng112/resources</w:t>
      </w:r>
    </w:p>
    <w:p w14:paraId="41B48901" w14:textId="77777777" w:rsidR="00364E9A" w:rsidRDefault="00000000">
      <w:pPr>
        <w:ind w:left="227"/>
      </w:pPr>
      <w:r>
        <w:rPr>
          <w:color w:val="2D2D2D"/>
          <w:sz w:val="20"/>
        </w:rPr>
        <w:t>BNF. Current prescribing information for trimethoprim, nitrofurantoin, amoxicillin, cefalexin and methenamine hippurate (accessed for May 2026 educational checking).</w:t>
      </w:r>
    </w:p>
    <w:p w14:paraId="45F8BFF5" w14:textId="77777777" w:rsidR="00364E9A" w:rsidRDefault="00000000">
      <w:pPr>
        <w:ind w:left="227"/>
      </w:pPr>
      <w:r>
        <w:rPr>
          <w:color w:val="2D2D2D"/>
          <w:sz w:val="20"/>
        </w:rPr>
        <w:t>MHRA safety advice on nitrofurantoin: pulmonary and hepatic adverse reactions with long-term use.</w:t>
      </w:r>
    </w:p>
    <w:p w14:paraId="72E8F69D" w14:textId="77777777" w:rsidR="00364E9A" w:rsidRDefault="00000000">
      <w:pPr>
        <w:ind w:left="227"/>
      </w:pPr>
      <w:r>
        <w:rPr>
          <w:color w:val="2D2D2D"/>
          <w:sz w:val="20"/>
        </w:rPr>
        <w:t>South West Yorkshire Area Prescribing Committee. Advice for prescribing antimicrobials for long term UTI prophylaxis (source structure document supplied by user).</w:t>
      </w:r>
    </w:p>
    <w:p w14:paraId="6E49D25A" w14:textId="77777777" w:rsidR="00364E9A" w:rsidRDefault="00000000">
      <w:pPr>
        <w:spacing w:before="280" w:after="120"/>
      </w:pPr>
      <w:r>
        <w:rPr>
          <w:b/>
          <w:color w:val="E0651F"/>
          <w:sz w:val="40"/>
        </w:rPr>
        <w:t>Disclaimer</w:t>
      </w:r>
    </w:p>
    <w:tbl>
      <w:tblPr>
        <w:tblW w:w="0" w:type="auto"/>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ook w:val="04A0" w:firstRow="1" w:lastRow="0" w:firstColumn="1" w:lastColumn="0" w:noHBand="0" w:noVBand="1"/>
      </w:tblPr>
      <w:tblGrid>
        <w:gridCol w:w="9866"/>
      </w:tblGrid>
      <w:tr w:rsidR="00364E9A" w14:paraId="284D3645" w14:textId="77777777">
        <w:trPr>
          <w:jc w:val="center"/>
        </w:trPr>
        <w:tc>
          <w:tcPr>
            <w:tcW w:w="9866" w:type="dxa"/>
            <w:shd w:val="clear" w:color="auto" w:fill="F2F2F2"/>
          </w:tcPr>
          <w:p w14:paraId="2117C780" w14:textId="77777777" w:rsidR="00364E9A" w:rsidRDefault="00000000">
            <w:pPr>
              <w:jc w:val="center"/>
            </w:pPr>
            <w:r>
              <w:rPr>
                <w:b/>
                <w:color w:val="404040"/>
              </w:rPr>
              <w:t>Always double check this advice and drug doses with the latest NICE/BNF guidance. This document is for educational purposes only.</w:t>
            </w:r>
          </w:p>
        </w:tc>
      </w:tr>
    </w:tbl>
    <w:p w14:paraId="3527B475" w14:textId="77777777" w:rsidR="00000000" w:rsidRDefault="00000000"/>
    <w:p w14:paraId="5A0E545F" w14:textId="77777777" w:rsidR="006959CC" w:rsidRPr="006959CC" w:rsidRDefault="006959CC" w:rsidP="006959CC"/>
    <w:p w14:paraId="705F0A82" w14:textId="77777777" w:rsidR="006959CC" w:rsidRPr="006959CC" w:rsidRDefault="006959CC" w:rsidP="006959CC"/>
    <w:p w14:paraId="223B6193" w14:textId="77777777" w:rsidR="006959CC" w:rsidRPr="006959CC" w:rsidRDefault="006959CC" w:rsidP="006959CC"/>
    <w:p w14:paraId="35C0D79C" w14:textId="77777777" w:rsidR="006959CC" w:rsidRPr="006959CC" w:rsidRDefault="006959CC" w:rsidP="006959CC"/>
    <w:p w14:paraId="5051DF11" w14:textId="6FE77DEB" w:rsidR="006959CC" w:rsidRPr="006959CC" w:rsidRDefault="006959CC" w:rsidP="006959CC">
      <w:pPr>
        <w:tabs>
          <w:tab w:val="left" w:pos="6555"/>
        </w:tabs>
      </w:pPr>
      <w:r>
        <w:tab/>
      </w:r>
    </w:p>
    <w:sectPr w:rsidR="006959CC" w:rsidRPr="006959CC" w:rsidSect="00034616">
      <w:headerReference w:type="even" r:id="rId9"/>
      <w:headerReference w:type="default" r:id="rId10"/>
      <w:footerReference w:type="even" r:id="rId11"/>
      <w:footerReference w:type="default" r:id="rId12"/>
      <w:headerReference w:type="first" r:id="rId13"/>
      <w:footerReference w:type="first" r:id="rId14"/>
      <w:pgSz w:w="11906" w:h="16838"/>
      <w:pgMar w:top="1020" w:right="1020" w:bottom="1020"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A97E8" w14:textId="77777777" w:rsidR="001D4181" w:rsidRDefault="001D4181">
      <w:pPr>
        <w:spacing w:after="0" w:line="240" w:lineRule="auto"/>
      </w:pPr>
      <w:r>
        <w:separator/>
      </w:r>
    </w:p>
  </w:endnote>
  <w:endnote w:type="continuationSeparator" w:id="0">
    <w:p w14:paraId="7AC3E41D" w14:textId="77777777" w:rsidR="001D4181" w:rsidRDefault="001D41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1CC1A" w14:textId="77777777" w:rsidR="006959CC" w:rsidRDefault="0069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6C64B" w14:textId="22326362" w:rsidR="00364E9A" w:rsidRDefault="00000000">
    <w:pPr>
      <w:pStyle w:val="Footer"/>
      <w:jc w:val="center"/>
    </w:pPr>
    <w:r>
      <w:rPr>
        <w:i/>
        <w:color w:val="666666"/>
        <w:sz w:val="18"/>
      </w:rPr>
      <w:t>A free resource provided by www.bradfordvts.co.uk, Dr Ramesh Mehay, revised May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F0FFC" w14:textId="77777777" w:rsidR="006959CC" w:rsidRDefault="0069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BC4D4" w14:textId="77777777" w:rsidR="001D4181" w:rsidRDefault="001D4181">
      <w:pPr>
        <w:spacing w:after="0" w:line="240" w:lineRule="auto"/>
      </w:pPr>
      <w:r>
        <w:separator/>
      </w:r>
    </w:p>
  </w:footnote>
  <w:footnote w:type="continuationSeparator" w:id="0">
    <w:p w14:paraId="3954E800" w14:textId="77777777" w:rsidR="001D4181" w:rsidRDefault="001D41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75C96" w14:textId="77777777" w:rsidR="006959CC" w:rsidRDefault="0069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2C8CE" w14:textId="77777777" w:rsidR="006959CC" w:rsidRDefault="006959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661B1" w14:textId="77777777" w:rsidR="006959CC" w:rsidRDefault="0069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95684291">
    <w:abstractNumId w:val="8"/>
  </w:num>
  <w:num w:numId="2" w16cid:durableId="260532341">
    <w:abstractNumId w:val="6"/>
  </w:num>
  <w:num w:numId="3" w16cid:durableId="2018917119">
    <w:abstractNumId w:val="5"/>
  </w:num>
  <w:num w:numId="4" w16cid:durableId="629558872">
    <w:abstractNumId w:val="4"/>
  </w:num>
  <w:num w:numId="5" w16cid:durableId="484780036">
    <w:abstractNumId w:val="7"/>
  </w:num>
  <w:num w:numId="6" w16cid:durableId="2124762781">
    <w:abstractNumId w:val="3"/>
  </w:num>
  <w:num w:numId="7" w16cid:durableId="2052727401">
    <w:abstractNumId w:val="2"/>
  </w:num>
  <w:num w:numId="8" w16cid:durableId="1469474604">
    <w:abstractNumId w:val="1"/>
  </w:num>
  <w:num w:numId="9" w16cid:durableId="808016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D4181"/>
    <w:rsid w:val="0029639D"/>
    <w:rsid w:val="00326F90"/>
    <w:rsid w:val="00364E9A"/>
    <w:rsid w:val="005D4829"/>
    <w:rsid w:val="006959CC"/>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A537EC"/>
  <w14:defaultImageDpi w14:val="300"/>
  <w15:docId w15:val="{86D0A0E3-DEF5-493A-BC01-7CF20010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cs="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1451</Words>
  <Characters>8273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9705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2026-05-23T14:58:00Z</dcterms:modified>
  <cp:category/>
</cp:coreProperties>
</file>