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BFF7C" w14:textId="30FE23BE" w:rsidR="00816189" w:rsidRPr="00E424AC" w:rsidRDefault="00816189" w:rsidP="00816189">
      <w:pPr>
        <w:shd w:val="clear" w:color="auto" w:fill="F4F2F0"/>
        <w:spacing w:after="0" w:line="462" w:lineRule="atLeast"/>
        <w:jc w:val="center"/>
        <w:outlineLvl w:val="0"/>
        <w:rPr>
          <w:rFonts w:ascii="Arial" w:eastAsia="Times New Roman" w:hAnsi="Arial" w:cs="Arial"/>
          <w:b/>
          <w:bCs/>
          <w:color w:val="222222"/>
          <w:kern w:val="36"/>
          <w:sz w:val="40"/>
          <w:szCs w:val="40"/>
          <w:lang w:eastAsia="en-GB"/>
        </w:rPr>
      </w:pPr>
      <w:r w:rsidRPr="00E424AC">
        <w:rPr>
          <w:rFonts w:ascii="Arial" w:eastAsia="Times New Roman" w:hAnsi="Arial" w:cs="Arial"/>
          <w:b/>
          <w:bCs/>
          <w:color w:val="222222"/>
          <w:kern w:val="36"/>
          <w:sz w:val="40"/>
          <w:szCs w:val="40"/>
          <w:lang w:eastAsia="en-GB"/>
        </w:rPr>
        <w:t>COT Performance Criteria in Detail</w:t>
      </w:r>
    </w:p>
    <w:p w14:paraId="0795A0AB" w14:textId="77777777" w:rsidR="00E424AC" w:rsidRDefault="00E424AC" w:rsidP="00B82408">
      <w:pPr>
        <w:pStyle w:val="NormalWeb"/>
        <w:spacing w:before="60" w:beforeAutospacing="0" w:after="120" w:afterAutospacing="0"/>
        <w:jc w:val="both"/>
        <w:rPr>
          <w:rStyle w:val="Strong"/>
          <w:rFonts w:ascii="Arial" w:hAnsi="Arial" w:cs="Arial"/>
          <w:color w:val="222222"/>
          <w:sz w:val="21"/>
          <w:szCs w:val="21"/>
        </w:rPr>
      </w:pPr>
    </w:p>
    <w:p w14:paraId="3F75FD59" w14:textId="4D3F11AB" w:rsidR="00816189" w:rsidRPr="00E424AC" w:rsidRDefault="00816189" w:rsidP="00B82408">
      <w:pPr>
        <w:pStyle w:val="NormalWeb"/>
        <w:spacing w:before="60" w:beforeAutospacing="0" w:after="120" w:afterAutospacing="0"/>
        <w:jc w:val="both"/>
        <w:rPr>
          <w:rFonts w:ascii="Arial" w:hAnsi="Arial" w:cs="Arial"/>
          <w:color w:val="0070C0"/>
          <w:sz w:val="21"/>
          <w:szCs w:val="21"/>
        </w:rPr>
      </w:pPr>
      <w:r w:rsidRPr="00E424AC">
        <w:rPr>
          <w:rStyle w:val="Strong"/>
          <w:rFonts w:ascii="Arial" w:hAnsi="Arial" w:cs="Arial"/>
          <w:color w:val="0070C0"/>
          <w:sz w:val="21"/>
          <w:szCs w:val="21"/>
        </w:rPr>
        <w:t>PC1: The doctor is seen to encourage the patient’s contribution at appropriate points in the consultation.</w:t>
      </w:r>
    </w:p>
    <w:p w14:paraId="2C850790"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This Performance Criterion is particularly looking for evidence of a doctor’s active listening skills, the ability to use open questions, to avoid unnecessary interruptions, and the use of non-verbal skills, in exploring and clarifying the patient’s agenda.</w:t>
      </w:r>
    </w:p>
    <w:p w14:paraId="067FFD0D"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Remember to think of the competences as active ones. In many consultations there is little need to encourage; the patient comes in and states what the matter is, and the doctor may not necessarily be given credit for that. You should seek for evidence that the doctor can encourage a contribution from a patient when encouragement is needed.</w:t>
      </w:r>
    </w:p>
    <w:p w14:paraId="5F90AC96" w14:textId="77777777" w:rsidR="00816189" w:rsidRPr="00E424AC" w:rsidRDefault="00816189" w:rsidP="00B82408">
      <w:pPr>
        <w:pStyle w:val="NormalWeb"/>
        <w:spacing w:before="60" w:beforeAutospacing="0" w:after="120" w:afterAutospacing="0"/>
        <w:jc w:val="both"/>
        <w:rPr>
          <w:rFonts w:ascii="Arial" w:hAnsi="Arial" w:cs="Arial"/>
          <w:color w:val="0070C0"/>
          <w:sz w:val="21"/>
          <w:szCs w:val="21"/>
        </w:rPr>
      </w:pPr>
      <w:r w:rsidRPr="00E424AC">
        <w:rPr>
          <w:rStyle w:val="Strong"/>
          <w:rFonts w:ascii="Arial" w:hAnsi="Arial" w:cs="Arial"/>
          <w:color w:val="0070C0"/>
          <w:sz w:val="21"/>
          <w:szCs w:val="21"/>
        </w:rPr>
        <w:t>PC2: The doctor is seen to respond to signals (cues) that lead to a deeper understanding of the problem.</w:t>
      </w:r>
    </w:p>
    <w:p w14:paraId="4C39E157"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The competence is to respond appropriately to important, significant (in terms of what emerges afterwards) cues.</w:t>
      </w:r>
    </w:p>
    <w:p w14:paraId="6386A131"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Take account of non-verbal cues, if these are evident. However, the doctor’s response to a non-verbal cue may either be verbal (commenting that a patient seems upset, worried etc), non-verbal (use of silence) or active (a change in body posture, a touch to the patient, offering the patient a tissue). It is important that you are alert for these responses.</w:t>
      </w:r>
    </w:p>
    <w:p w14:paraId="3EE2C5CB"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This PC certainly incorporates “rapport” and/or “</w:t>
      </w:r>
      <w:r w:rsidRPr="00B82408">
        <w:rPr>
          <w:rStyle w:val="Strong"/>
          <w:rFonts w:ascii="Arial" w:hAnsi="Arial" w:cs="Arial"/>
          <w:color w:val="222222"/>
          <w:sz w:val="18"/>
          <w:szCs w:val="18"/>
        </w:rPr>
        <w:t>showing empathy</w:t>
      </w:r>
      <w:r w:rsidRPr="00B82408">
        <w:rPr>
          <w:rFonts w:ascii="Arial" w:hAnsi="Arial" w:cs="Arial"/>
          <w:color w:val="222222"/>
          <w:sz w:val="18"/>
          <w:szCs w:val="18"/>
        </w:rPr>
        <w:t>”, and if you notice an empathic response, consider whether it represents a response to a cue (i.e. the “cue” may be explicit, but the emotional significance that is being responded to may be quite subtle).</w:t>
      </w:r>
    </w:p>
    <w:p w14:paraId="552D8B90" w14:textId="77777777" w:rsidR="00816189" w:rsidRPr="00E424AC" w:rsidRDefault="00816189" w:rsidP="00B82408">
      <w:pPr>
        <w:pStyle w:val="NormalWeb"/>
        <w:spacing w:before="60" w:beforeAutospacing="0" w:after="120" w:afterAutospacing="0"/>
        <w:jc w:val="both"/>
        <w:rPr>
          <w:rFonts w:ascii="Arial" w:hAnsi="Arial" w:cs="Arial"/>
          <w:color w:val="0070C0"/>
          <w:sz w:val="21"/>
          <w:szCs w:val="21"/>
        </w:rPr>
      </w:pPr>
      <w:r w:rsidRPr="00E424AC">
        <w:rPr>
          <w:rStyle w:val="Strong"/>
          <w:rFonts w:ascii="Arial" w:hAnsi="Arial" w:cs="Arial"/>
          <w:color w:val="0070C0"/>
          <w:sz w:val="21"/>
          <w:szCs w:val="21"/>
        </w:rPr>
        <w:t>PC3: The doctor uses appropriate psychological and social information to place the complaint(s) in context.</w:t>
      </w:r>
    </w:p>
    <w:p w14:paraId="4F4FED4D"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We expect candidates to consider relevant psychological, social (including occupational) aspects of the problem. These may be known beforehand, or offered spontaneously by the patient, or elicited. The competence is to use the information in exploring the impact of the problem e.g. “how does your backache affect your life as a builder”. It may also be appropriate to consider how the patient’s lifestyle impacts on the problem.</w:t>
      </w:r>
    </w:p>
    <w:p w14:paraId="15313D2C" w14:textId="77777777" w:rsidR="00816189" w:rsidRPr="00E424AC" w:rsidRDefault="00816189" w:rsidP="00B82408">
      <w:pPr>
        <w:pStyle w:val="NormalWeb"/>
        <w:spacing w:before="60" w:beforeAutospacing="0" w:after="120" w:afterAutospacing="0"/>
        <w:jc w:val="both"/>
        <w:rPr>
          <w:rFonts w:ascii="Arial" w:hAnsi="Arial" w:cs="Arial"/>
          <w:b/>
          <w:bCs/>
          <w:color w:val="0070C0"/>
          <w:sz w:val="21"/>
          <w:szCs w:val="21"/>
        </w:rPr>
      </w:pPr>
      <w:r w:rsidRPr="00E424AC">
        <w:rPr>
          <w:rFonts w:ascii="Arial" w:hAnsi="Arial" w:cs="Arial"/>
          <w:b/>
          <w:bCs/>
          <w:color w:val="0070C0"/>
          <w:sz w:val="21"/>
          <w:szCs w:val="21"/>
        </w:rPr>
        <w:t>PC4: The doctor explores the patient’s health understanding.</w:t>
      </w:r>
    </w:p>
    <w:p w14:paraId="1D047729"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This performance critera incorporates exploring the patient’s perspective of the problem (including health beliefs and “ideas, concerns and expectations”). Has (s)he read something on the internet, been told something...? The competence is the curiosity to find out what the patient really thinks - a cursory “what do you think?” without any response to the answer will not do. But questions like “what did you think was going on...........what would be your worst fear with these symptoms..........were you concerned this was serious.......what were you hoping I would do for this condition?” are much more likely to get a valuable response.</w:t>
      </w:r>
    </w:p>
    <w:p w14:paraId="339B55A7" w14:textId="77777777" w:rsidR="00816189" w:rsidRPr="00E424AC" w:rsidRDefault="00816189" w:rsidP="00B82408">
      <w:pPr>
        <w:pStyle w:val="NormalWeb"/>
        <w:spacing w:before="60" w:beforeAutospacing="0" w:after="120" w:afterAutospacing="0"/>
        <w:jc w:val="both"/>
        <w:rPr>
          <w:rFonts w:ascii="Arial" w:hAnsi="Arial" w:cs="Arial"/>
          <w:color w:val="0070C0"/>
          <w:sz w:val="21"/>
          <w:szCs w:val="21"/>
        </w:rPr>
      </w:pPr>
      <w:r w:rsidRPr="00E424AC">
        <w:rPr>
          <w:rStyle w:val="Strong"/>
          <w:rFonts w:ascii="Arial" w:hAnsi="Arial" w:cs="Arial"/>
          <w:color w:val="0070C0"/>
          <w:sz w:val="21"/>
          <w:szCs w:val="21"/>
        </w:rPr>
        <w:t>PC5: The doctor obtains sufficient information to include or exclude likely relevant significant conditions.</w:t>
      </w:r>
    </w:p>
    <w:p w14:paraId="6931B8AA"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Registrars demonstrate this competence by asking questions around relevant hypotheses. It is important to remember the context of general practice, and especially that registrars are not (usually) specialist-generalists in any field.</w:t>
      </w:r>
    </w:p>
    <w:p w14:paraId="33863929"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This is the medical safety PC, which addresses the focused enquiry that commonly occurs during the consultation, not necessarily at a particular stage: it may happen during an examination, or later, during the explanation, or even as an afterthought.</w:t>
      </w:r>
    </w:p>
    <w:p w14:paraId="3F4BA6D9"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This is an occasion when closed questions may be the most efficient method of obtaining the information, for example to determine whether or not a patient with headaches might have a serious illness such as raised intracranial pressure. It does not mean that the doctor has to go into every conceivable detail or chase rare diagnoses. Remember that it is part of the element </w:t>
      </w:r>
      <w:r w:rsidRPr="00B82408">
        <w:rPr>
          <w:rStyle w:val="Strong"/>
          <w:rFonts w:ascii="Arial" w:hAnsi="Arial" w:cs="Arial"/>
          <w:color w:val="222222"/>
          <w:sz w:val="18"/>
          <w:szCs w:val="18"/>
        </w:rPr>
        <w:t>obtain sufficient information about symptoms and details of medical history</w:t>
      </w:r>
      <w:r w:rsidRPr="00B82408">
        <w:rPr>
          <w:rFonts w:ascii="Arial" w:hAnsi="Arial" w:cs="Arial"/>
          <w:color w:val="222222"/>
          <w:sz w:val="18"/>
          <w:szCs w:val="18"/>
        </w:rPr>
        <w:t> which in turn is part of </w:t>
      </w:r>
      <w:r w:rsidRPr="00B82408">
        <w:rPr>
          <w:rStyle w:val="Strong"/>
          <w:rFonts w:ascii="Arial" w:hAnsi="Arial" w:cs="Arial"/>
          <w:color w:val="222222"/>
          <w:sz w:val="18"/>
          <w:szCs w:val="18"/>
        </w:rPr>
        <w:t>defining the clinical problem(s)</w:t>
      </w:r>
      <w:r w:rsidRPr="00B82408">
        <w:rPr>
          <w:rFonts w:ascii="Arial" w:hAnsi="Arial" w:cs="Arial"/>
          <w:color w:val="222222"/>
          <w:sz w:val="18"/>
          <w:szCs w:val="18"/>
        </w:rPr>
        <w:t>. It is about taking a history in the degree of detail which is compatible with safety but which takes account of the epidemiological realities of general practice.</w:t>
      </w:r>
    </w:p>
    <w:p w14:paraId="084EB471" w14:textId="77777777" w:rsidR="00816189" w:rsidRPr="00E424AC" w:rsidRDefault="00816189" w:rsidP="00B82408">
      <w:pPr>
        <w:pStyle w:val="NormalWeb"/>
        <w:spacing w:before="60" w:beforeAutospacing="0" w:after="120" w:afterAutospacing="0"/>
        <w:jc w:val="both"/>
        <w:rPr>
          <w:rFonts w:ascii="Arial" w:hAnsi="Arial" w:cs="Arial"/>
          <w:color w:val="0070C0"/>
          <w:sz w:val="21"/>
          <w:szCs w:val="21"/>
        </w:rPr>
      </w:pPr>
      <w:r w:rsidRPr="00E424AC">
        <w:rPr>
          <w:rStyle w:val="Strong"/>
          <w:rFonts w:ascii="Arial" w:hAnsi="Arial" w:cs="Arial"/>
          <w:color w:val="0070C0"/>
          <w:sz w:val="21"/>
          <w:szCs w:val="21"/>
        </w:rPr>
        <w:t>PC6: The physical/mental examination chosen is likely to confirm or disprove hypotheses that could reasonably have been formed, OR is designed to address a patient’s concern.</w:t>
      </w:r>
    </w:p>
    <w:p w14:paraId="259F7724" w14:textId="192410CB" w:rsidR="00B82408"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The competence will usually be the choice of examination, not the way it is done. Video may not be the best place for that to be assessed - however it may generate discussion. It is still usually possible to hear what examination is being undertaken and what explanations are being given. A mental state examination would be appropriate in a number of cases. Intimate examination should not be recorded!</w:t>
      </w:r>
      <w:hyperlink r:id="rId7" w:history="1"/>
    </w:p>
    <w:p w14:paraId="7E77B788" w14:textId="545A41E9" w:rsidR="00B82408" w:rsidRDefault="00B82408" w:rsidP="00B82408">
      <w:pPr>
        <w:tabs>
          <w:tab w:val="left" w:pos="6554"/>
        </w:tabs>
        <w:rPr>
          <w:rFonts w:ascii="Arial" w:eastAsia="Times New Roman" w:hAnsi="Arial" w:cs="Arial"/>
          <w:b/>
          <w:bCs/>
          <w:color w:val="222222"/>
          <w:sz w:val="21"/>
          <w:szCs w:val="21"/>
          <w:lang w:eastAsia="en-GB"/>
        </w:rPr>
      </w:pPr>
      <w:r w:rsidRPr="00B82408">
        <w:rPr>
          <w:rFonts w:ascii="Arial" w:eastAsia="Times New Roman" w:hAnsi="Arial" w:cs="Arial"/>
          <w:sz w:val="21"/>
          <w:szCs w:val="21"/>
          <w:lang w:eastAsia="en-GB"/>
        </w:rPr>
        <w:br w:type="page"/>
      </w:r>
      <w:r>
        <w:rPr>
          <w:rFonts w:ascii="Arial" w:eastAsia="Times New Roman" w:hAnsi="Arial" w:cs="Arial"/>
          <w:b/>
          <w:bCs/>
          <w:color w:val="222222"/>
          <w:sz w:val="21"/>
          <w:szCs w:val="21"/>
          <w:lang w:eastAsia="en-GB"/>
        </w:rPr>
        <w:lastRenderedPageBreak/>
        <w:tab/>
      </w:r>
    </w:p>
    <w:p w14:paraId="55254A91" w14:textId="3817A73E" w:rsidR="00816189" w:rsidRPr="00E424AC" w:rsidRDefault="00816189" w:rsidP="00B82408">
      <w:pPr>
        <w:shd w:val="clear" w:color="auto" w:fill="FFFFFF"/>
        <w:spacing w:before="60" w:after="120" w:line="240" w:lineRule="auto"/>
        <w:jc w:val="both"/>
        <w:rPr>
          <w:rFonts w:ascii="Arial" w:eastAsia="Times New Roman" w:hAnsi="Arial" w:cs="Arial"/>
          <w:color w:val="0070C0"/>
          <w:sz w:val="21"/>
          <w:szCs w:val="21"/>
          <w:lang w:eastAsia="en-GB"/>
        </w:rPr>
      </w:pPr>
      <w:r w:rsidRPr="00E424AC">
        <w:rPr>
          <w:rFonts w:ascii="Arial" w:eastAsia="Times New Roman" w:hAnsi="Arial" w:cs="Arial"/>
          <w:b/>
          <w:bCs/>
          <w:color w:val="0070C0"/>
          <w:sz w:val="21"/>
          <w:szCs w:val="21"/>
          <w:lang w:eastAsia="en-GB"/>
        </w:rPr>
        <w:t>PC7: The doctor appears to make a clinically appropriate working diagnosis.</w:t>
      </w:r>
    </w:p>
    <w:p w14:paraId="12AA7EC3" w14:textId="77777777" w:rsidR="00816189" w:rsidRPr="00816189" w:rsidRDefault="00816189" w:rsidP="00B82408">
      <w:pPr>
        <w:shd w:val="clear" w:color="auto" w:fill="FFFFFF"/>
        <w:spacing w:before="60" w:after="120" w:line="240" w:lineRule="auto"/>
        <w:jc w:val="both"/>
        <w:rPr>
          <w:rFonts w:ascii="Arial" w:eastAsia="Times New Roman" w:hAnsi="Arial" w:cs="Arial"/>
          <w:color w:val="222222"/>
          <w:sz w:val="18"/>
          <w:szCs w:val="18"/>
          <w:lang w:eastAsia="en-GB"/>
        </w:rPr>
      </w:pPr>
      <w:r w:rsidRPr="00816189">
        <w:rPr>
          <w:rFonts w:ascii="Arial" w:eastAsia="Times New Roman" w:hAnsi="Arial" w:cs="Arial"/>
          <w:color w:val="222222"/>
          <w:sz w:val="18"/>
          <w:szCs w:val="18"/>
          <w:lang w:eastAsia="en-GB"/>
        </w:rPr>
        <w:t>Whilst this is included in the consultation summary form there should be evidence on the video of a clinically appropriate diagnosis or hypothesis having been made. On occasions, however, it may not be possible to make a diagnosis, but discussion of what has been ruled out will be important.</w:t>
      </w:r>
    </w:p>
    <w:p w14:paraId="5D4ACB53" w14:textId="77777777" w:rsidR="00816189" w:rsidRPr="00E424AC" w:rsidRDefault="00816189" w:rsidP="00B82408">
      <w:pPr>
        <w:pStyle w:val="NormalWeb"/>
        <w:spacing w:before="60" w:beforeAutospacing="0" w:after="120" w:afterAutospacing="0"/>
        <w:jc w:val="both"/>
        <w:rPr>
          <w:rFonts w:ascii="Arial" w:hAnsi="Arial" w:cs="Arial"/>
          <w:color w:val="0070C0"/>
          <w:sz w:val="21"/>
          <w:szCs w:val="21"/>
        </w:rPr>
      </w:pPr>
      <w:r w:rsidRPr="00E424AC">
        <w:rPr>
          <w:rStyle w:val="Strong"/>
          <w:rFonts w:ascii="Arial" w:hAnsi="Arial" w:cs="Arial"/>
          <w:color w:val="0070C0"/>
          <w:sz w:val="21"/>
          <w:szCs w:val="21"/>
        </w:rPr>
        <w:t>PC8: The doctor explains the problem or diagnosis in appropriate language.</w:t>
      </w:r>
    </w:p>
    <w:p w14:paraId="19670D7D"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There must be evidence of an </w:t>
      </w:r>
      <w:r w:rsidRPr="00B82408">
        <w:rPr>
          <w:rStyle w:val="Strong"/>
          <w:rFonts w:ascii="Arial" w:hAnsi="Arial" w:cs="Arial"/>
          <w:color w:val="222222"/>
          <w:sz w:val="18"/>
          <w:szCs w:val="18"/>
        </w:rPr>
        <w:t>explanation</w:t>
      </w:r>
      <w:r w:rsidRPr="00B82408">
        <w:rPr>
          <w:rFonts w:ascii="Arial" w:hAnsi="Arial" w:cs="Arial"/>
          <w:color w:val="222222"/>
          <w:sz w:val="18"/>
          <w:szCs w:val="18"/>
        </w:rPr>
        <w:t> of the patient’s problem. The element states that the findings should be shared with the patient. As educational supervisors we need to judge the quality of the explanation. A short explanation may be enough but it must be relevant, understandable and appropriate. Using diagrams or language aids for non-English-speaking patients may be appropriate.</w:t>
      </w:r>
    </w:p>
    <w:p w14:paraId="217D4230"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Excellent registrars will incorporate some or all of the patients’ health beliefs - in other words, one that responds to the health beliefs considered in PC4. It is unlikely that this PC could be demonstrated in the absence of PC4. However, on occasion, the patient will volunteer their health belief without prompting.</w:t>
      </w:r>
    </w:p>
    <w:p w14:paraId="5D60F3BE"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Essentially it requires a reference back to patient-held ideas during the explanation of the problem/diagnosis.</w:t>
      </w:r>
    </w:p>
    <w:p w14:paraId="16920EE0" w14:textId="77777777" w:rsidR="00816189" w:rsidRPr="00E424AC" w:rsidRDefault="00816189" w:rsidP="00B82408">
      <w:pPr>
        <w:pStyle w:val="NormalWeb"/>
        <w:spacing w:before="60" w:beforeAutospacing="0" w:after="120" w:afterAutospacing="0"/>
        <w:jc w:val="both"/>
        <w:rPr>
          <w:rFonts w:ascii="Arial" w:hAnsi="Arial" w:cs="Arial"/>
          <w:color w:val="0070C0"/>
          <w:sz w:val="21"/>
          <w:szCs w:val="21"/>
        </w:rPr>
      </w:pPr>
      <w:r w:rsidRPr="00E424AC">
        <w:rPr>
          <w:rStyle w:val="Strong"/>
          <w:rFonts w:ascii="Arial" w:hAnsi="Arial" w:cs="Arial"/>
          <w:color w:val="0070C0"/>
          <w:sz w:val="21"/>
          <w:szCs w:val="21"/>
        </w:rPr>
        <w:t>PC9: The management plan (including any prescription) is appropriate for the working diagnosis, reflecting a good understanding of modern accepted medical practice.</w:t>
      </w:r>
    </w:p>
    <w:p w14:paraId="65344547" w14:textId="7FF1C2EE" w:rsidR="00816189" w:rsidRPr="00816189"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It is important that the management plan relates directly to the working diagnosis and must represent good current medical practice. Management must be a safe plan even though it may not be what you would do. Investigations and referral should be reasonable. The prescribed medication (if any) should be safe and reasonable, even if not your preferred choice!</w:t>
      </w:r>
      <w:hyperlink r:id="rId8" w:history="1"/>
    </w:p>
    <w:p w14:paraId="2152AEB4" w14:textId="77777777" w:rsidR="00816189" w:rsidRPr="00E424AC" w:rsidRDefault="00816189" w:rsidP="00B82408">
      <w:pPr>
        <w:shd w:val="clear" w:color="auto" w:fill="FFFFFF"/>
        <w:spacing w:before="60" w:after="120" w:line="240" w:lineRule="auto"/>
        <w:jc w:val="both"/>
        <w:rPr>
          <w:rFonts w:ascii="Arial" w:eastAsia="Times New Roman" w:hAnsi="Arial" w:cs="Arial"/>
          <w:color w:val="0070C0"/>
          <w:sz w:val="21"/>
          <w:szCs w:val="21"/>
          <w:lang w:eastAsia="en-GB"/>
        </w:rPr>
      </w:pPr>
      <w:r w:rsidRPr="00E424AC">
        <w:rPr>
          <w:rFonts w:ascii="Arial" w:eastAsia="Times New Roman" w:hAnsi="Arial" w:cs="Arial"/>
          <w:b/>
          <w:bCs/>
          <w:color w:val="0070C0"/>
          <w:sz w:val="21"/>
          <w:szCs w:val="21"/>
          <w:lang w:eastAsia="en-GB"/>
        </w:rPr>
        <w:t>PC10: The patient is given the opportunity to be involved in significant management decisions.</w:t>
      </w:r>
    </w:p>
    <w:p w14:paraId="7C04F72B" w14:textId="77777777" w:rsidR="00816189" w:rsidRPr="00816189" w:rsidRDefault="00816189" w:rsidP="00B82408">
      <w:pPr>
        <w:shd w:val="clear" w:color="auto" w:fill="FFFFFF"/>
        <w:spacing w:before="60" w:after="120" w:line="240" w:lineRule="auto"/>
        <w:jc w:val="both"/>
        <w:rPr>
          <w:rFonts w:ascii="Arial" w:eastAsia="Times New Roman" w:hAnsi="Arial" w:cs="Arial"/>
          <w:color w:val="222222"/>
          <w:sz w:val="18"/>
          <w:szCs w:val="18"/>
          <w:lang w:eastAsia="en-GB"/>
        </w:rPr>
      </w:pPr>
      <w:r w:rsidRPr="00816189">
        <w:rPr>
          <w:rFonts w:ascii="Arial" w:eastAsia="Times New Roman" w:hAnsi="Arial" w:cs="Arial"/>
          <w:color w:val="222222"/>
          <w:sz w:val="18"/>
          <w:szCs w:val="18"/>
          <w:lang w:eastAsia="en-GB"/>
        </w:rPr>
        <w:t>This was formerly “sharing management options” - the new version seeks to reward the underlying competence of doctor and patient engaging in </w:t>
      </w:r>
      <w:r w:rsidRPr="00816189">
        <w:rPr>
          <w:rFonts w:ascii="Arial" w:eastAsia="Times New Roman" w:hAnsi="Arial" w:cs="Arial"/>
          <w:b/>
          <w:bCs/>
          <w:color w:val="222222"/>
          <w:sz w:val="18"/>
          <w:szCs w:val="18"/>
          <w:lang w:eastAsia="en-GB"/>
        </w:rPr>
        <w:t>shared decision making</w:t>
      </w:r>
      <w:r w:rsidRPr="00816189">
        <w:rPr>
          <w:rFonts w:ascii="Arial" w:eastAsia="Times New Roman" w:hAnsi="Arial" w:cs="Arial"/>
          <w:color w:val="222222"/>
          <w:sz w:val="18"/>
          <w:szCs w:val="18"/>
          <w:lang w:eastAsia="en-GB"/>
        </w:rPr>
        <w:t>. Included in this competence is establishing the conditions for shared decision-making, such as the patient’s willingness to be involved (at least a third are unwilling), their ability to take decisions (some are not able), and the evidence-base on which any decisions are being made. The registrar should be rewarded for addressing any of these aspects of the competence: they do not need to take the patient right through to a decision.</w:t>
      </w:r>
    </w:p>
    <w:p w14:paraId="29380FE8" w14:textId="77777777" w:rsidR="00816189" w:rsidRPr="00E424AC" w:rsidRDefault="00816189" w:rsidP="00B82408">
      <w:pPr>
        <w:pStyle w:val="NormalWeb"/>
        <w:spacing w:before="60" w:beforeAutospacing="0" w:after="120" w:afterAutospacing="0"/>
        <w:jc w:val="both"/>
        <w:rPr>
          <w:rFonts w:ascii="Arial" w:hAnsi="Arial" w:cs="Arial"/>
          <w:color w:val="0070C0"/>
          <w:sz w:val="21"/>
          <w:szCs w:val="21"/>
        </w:rPr>
      </w:pPr>
      <w:r w:rsidRPr="00E424AC">
        <w:rPr>
          <w:rStyle w:val="Strong"/>
          <w:rFonts w:ascii="Arial" w:hAnsi="Arial" w:cs="Arial"/>
          <w:color w:val="0070C0"/>
          <w:sz w:val="21"/>
          <w:szCs w:val="21"/>
        </w:rPr>
        <w:t>PC11: The doctor checks that there is a shared understanding of the diagnosis, management plan, treatment, safety-netting and follow-up arrangements.</w:t>
      </w:r>
    </w:p>
    <w:p w14:paraId="66C709DA"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A surprisingly high proportion of patients do not understand or remember what their doctors tell them about diagnosis or treatment. Cultural differences may exacerbate this. Uncertainty and lack of information or clear explanation can lead to patient anxiety and dissatisfaction. Feedback from patients suggests that information should not just be ‘given’ but shared and made accessible so that they can enter into a discussion with the GP.</w:t>
      </w:r>
    </w:p>
    <w:p w14:paraId="7CD1D07A"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This competence is about ensuring, </w:t>
      </w:r>
      <w:r w:rsidRPr="00B82408">
        <w:rPr>
          <w:rStyle w:val="Strong"/>
          <w:rFonts w:ascii="Arial" w:hAnsi="Arial" w:cs="Arial"/>
          <w:color w:val="222222"/>
          <w:sz w:val="18"/>
          <w:szCs w:val="18"/>
        </w:rPr>
        <w:t>as appropriate to the individual patient</w:t>
      </w:r>
      <w:r w:rsidRPr="00B82408">
        <w:rPr>
          <w:rFonts w:ascii="Arial" w:hAnsi="Arial" w:cs="Arial"/>
          <w:color w:val="222222"/>
          <w:sz w:val="18"/>
          <w:szCs w:val="18"/>
        </w:rPr>
        <w:t>, the accuracy of the patient’s understanding of the diagnosis and management plan. It may be necessary overtly to check the patient’s understanding of red flags and safety-netting, or of the follow- up arrangements and attention to medication compliance. A cursory “Is that OK?” or the patient simply nodding is not enough. It must be an active seeking out of the patient’s understanding, agreement and an encouragement to accept appropriate responsibility.</w:t>
      </w:r>
    </w:p>
    <w:p w14:paraId="1837C1D2"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It is essential that this should not be formulaic, but, if it is appropriate with the patient involved, phrases such as “We’ve covered a lot today, would you mind just running through our plan, so I can be sure we are in agreement?” or “Can I just check how you will take the medication and when?” may be valuable.</w:t>
      </w:r>
    </w:p>
    <w:p w14:paraId="7BF45425" w14:textId="77777777" w:rsidR="00816189" w:rsidRPr="00E424AC" w:rsidRDefault="00816189" w:rsidP="00B82408">
      <w:pPr>
        <w:pStyle w:val="NormalWeb"/>
        <w:spacing w:before="60" w:beforeAutospacing="0" w:after="120" w:afterAutospacing="0"/>
        <w:jc w:val="both"/>
        <w:rPr>
          <w:rFonts w:ascii="Arial" w:hAnsi="Arial" w:cs="Arial"/>
          <w:color w:val="0070C0"/>
          <w:sz w:val="21"/>
          <w:szCs w:val="21"/>
        </w:rPr>
      </w:pPr>
      <w:r w:rsidRPr="00E424AC">
        <w:rPr>
          <w:rStyle w:val="Strong"/>
          <w:rFonts w:ascii="Arial" w:hAnsi="Arial" w:cs="Arial"/>
          <w:color w:val="0070C0"/>
          <w:sz w:val="21"/>
          <w:szCs w:val="21"/>
        </w:rPr>
        <w:t>PC12: Makes effective use of resources</w:t>
      </w:r>
    </w:p>
    <w:p w14:paraId="4D53C124" w14:textId="77777777" w:rsid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Time management is important here. Was the consultation completed in 10 minutes? Providing Structure by summarising, signposting and sequencing, Aiding Recall and Understanding by restating, ...all of these are also important techniques.</w:t>
      </w:r>
    </w:p>
    <w:p w14:paraId="674CF9B0" w14:textId="2125539A"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This area will include use of resources to help those with disabilities, for example, or those patients whose first language is not English.</w:t>
      </w:r>
    </w:p>
    <w:p w14:paraId="0F13C4A9"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Referrals, investigations and follow-up appointments should be appropriate, being mindful of limited resources.</w:t>
      </w:r>
    </w:p>
    <w:p w14:paraId="0B2E1513" w14:textId="77777777" w:rsidR="00816189" w:rsidRPr="00E424AC" w:rsidRDefault="00816189" w:rsidP="00B82408">
      <w:pPr>
        <w:pStyle w:val="NormalWeb"/>
        <w:spacing w:before="60" w:beforeAutospacing="0" w:after="120" w:afterAutospacing="0"/>
        <w:jc w:val="both"/>
        <w:rPr>
          <w:rFonts w:ascii="Arial" w:hAnsi="Arial" w:cs="Arial"/>
          <w:color w:val="0070C0"/>
          <w:sz w:val="21"/>
          <w:szCs w:val="21"/>
        </w:rPr>
      </w:pPr>
      <w:r w:rsidRPr="00E424AC">
        <w:rPr>
          <w:rStyle w:val="Strong"/>
          <w:rFonts w:ascii="Arial" w:hAnsi="Arial" w:cs="Arial"/>
          <w:color w:val="0070C0"/>
          <w:sz w:val="21"/>
          <w:szCs w:val="21"/>
        </w:rPr>
        <w:t>PC13: The doctor specifies the conditions and interval for follow-up or review.</w:t>
      </w:r>
    </w:p>
    <w:p w14:paraId="01EB40F1" w14:textId="77777777" w:rsidR="00816189" w:rsidRPr="00B82408" w:rsidRDefault="00816189" w:rsidP="00B82408">
      <w:pPr>
        <w:pStyle w:val="NormalWeb"/>
        <w:spacing w:before="60" w:beforeAutospacing="0" w:after="120" w:afterAutospacing="0"/>
        <w:jc w:val="both"/>
        <w:rPr>
          <w:rFonts w:ascii="Arial" w:hAnsi="Arial" w:cs="Arial"/>
          <w:color w:val="222222"/>
          <w:sz w:val="18"/>
          <w:szCs w:val="18"/>
        </w:rPr>
      </w:pPr>
      <w:r w:rsidRPr="00B82408">
        <w:rPr>
          <w:rFonts w:ascii="Arial" w:hAnsi="Arial" w:cs="Arial"/>
          <w:color w:val="222222"/>
          <w:sz w:val="18"/>
          <w:szCs w:val="18"/>
        </w:rPr>
        <w:t>This criterion within the unit Make effective use of the consultation </w:t>
      </w:r>
      <w:r w:rsidRPr="00B82408">
        <w:rPr>
          <w:rStyle w:val="Strong"/>
          <w:rFonts w:ascii="Arial" w:hAnsi="Arial" w:cs="Arial"/>
          <w:color w:val="222222"/>
          <w:sz w:val="18"/>
          <w:szCs w:val="18"/>
        </w:rPr>
        <w:t>should be straightforward. It should be interpreted broadly</w:t>
      </w:r>
      <w:r w:rsidRPr="00B82408">
        <w:rPr>
          <w:rFonts w:ascii="Arial" w:hAnsi="Arial" w:cs="Arial"/>
          <w:color w:val="222222"/>
          <w:sz w:val="18"/>
          <w:szCs w:val="18"/>
        </w:rPr>
        <w:t>, so that any reference to returning (“next week”, “when the tablets run out”, “if not better in a few days”, “see the nurse for a BP check in 1 month”, etc.) may be rewarded.</w:t>
      </w:r>
    </w:p>
    <w:p w14:paraId="223A0150" w14:textId="77777777" w:rsidR="00816189" w:rsidRDefault="00816189"/>
    <w:sectPr w:rsidR="00816189" w:rsidSect="00B82408">
      <w:footerReference w:type="default" r:id="rId9"/>
      <w:pgSz w:w="11906" w:h="16838"/>
      <w:pgMar w:top="1008" w:right="1440" w:bottom="1008"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DE716" w14:textId="77777777" w:rsidR="007F310F" w:rsidRDefault="007F310F" w:rsidP="00B82408">
      <w:pPr>
        <w:spacing w:after="0" w:line="240" w:lineRule="auto"/>
      </w:pPr>
      <w:r>
        <w:separator/>
      </w:r>
    </w:p>
  </w:endnote>
  <w:endnote w:type="continuationSeparator" w:id="0">
    <w:p w14:paraId="3163AE37" w14:textId="77777777" w:rsidR="007F310F" w:rsidRDefault="007F310F" w:rsidP="00B82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177F0" w14:textId="77777777" w:rsidR="00E424AC" w:rsidRDefault="00E424AC" w:rsidP="00E424AC">
    <w:pPr>
      <w:pStyle w:val="Footer"/>
      <w:jc w:val="right"/>
      <w:rPr>
        <w:sz w:val="18"/>
        <w:szCs w:val="18"/>
      </w:rPr>
    </w:pPr>
  </w:p>
  <w:p w14:paraId="55917102" w14:textId="0A86769C" w:rsidR="00B82408" w:rsidRPr="00E424AC" w:rsidRDefault="00E424AC" w:rsidP="00E424AC">
    <w:pPr>
      <w:pStyle w:val="Footer"/>
      <w:jc w:val="right"/>
      <w:rPr>
        <w:sz w:val="18"/>
        <w:szCs w:val="18"/>
      </w:rPr>
    </w:pPr>
    <w:r>
      <w:rPr>
        <w:sz w:val="18"/>
        <w:szCs w:val="18"/>
      </w:rPr>
      <w:t xml:space="preserve">Downloaded from </w:t>
    </w:r>
    <w:r w:rsidRPr="00B82408">
      <w:rPr>
        <w:sz w:val="18"/>
        <w:szCs w:val="18"/>
      </w:rPr>
      <w:t>www.bradfordvts.co.uk</w:t>
    </w:r>
    <w:r>
      <w:rPr>
        <w:sz w:val="18"/>
        <w:szCs w:val="18"/>
      </w:rPr>
      <w:t xml:space="preserve"> (Go to MRCGP&gt;COT)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BFA1DC" w14:textId="77777777" w:rsidR="007F310F" w:rsidRDefault="007F310F" w:rsidP="00B82408">
      <w:pPr>
        <w:spacing w:after="0" w:line="240" w:lineRule="auto"/>
      </w:pPr>
      <w:r>
        <w:separator/>
      </w:r>
    </w:p>
  </w:footnote>
  <w:footnote w:type="continuationSeparator" w:id="0">
    <w:p w14:paraId="6D0818F4" w14:textId="77777777" w:rsidR="007F310F" w:rsidRDefault="007F310F" w:rsidP="00B824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D7CE4"/>
    <w:multiLevelType w:val="hybridMultilevel"/>
    <w:tmpl w:val="F2345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22260E"/>
    <w:multiLevelType w:val="hybridMultilevel"/>
    <w:tmpl w:val="5ACA6A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83426745">
    <w:abstractNumId w:val="1"/>
  </w:num>
  <w:num w:numId="2" w16cid:durableId="1242258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bQ0sDQ1NzIyNDE0NrBQ0lEKTi0uzszPAykwqwUAZYk9xiwAAAA="/>
  </w:docVars>
  <w:rsids>
    <w:rsidRoot w:val="00816189"/>
    <w:rsid w:val="00071EF1"/>
    <w:rsid w:val="000B05EC"/>
    <w:rsid w:val="00101D59"/>
    <w:rsid w:val="00181408"/>
    <w:rsid w:val="005B471B"/>
    <w:rsid w:val="005D4A99"/>
    <w:rsid w:val="00693BD8"/>
    <w:rsid w:val="007F310F"/>
    <w:rsid w:val="00816189"/>
    <w:rsid w:val="00AD70A9"/>
    <w:rsid w:val="00B82408"/>
    <w:rsid w:val="00C3464B"/>
    <w:rsid w:val="00E424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A15C9"/>
  <w15:chartTrackingRefBased/>
  <w15:docId w15:val="{1F633969-8694-4734-A2E3-CA0B507B9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1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61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6189"/>
    <w:pPr>
      <w:ind w:left="720"/>
      <w:contextualSpacing/>
    </w:pPr>
  </w:style>
  <w:style w:type="paragraph" w:styleId="NormalWeb">
    <w:name w:val="Normal (Web)"/>
    <w:basedOn w:val="Normal"/>
    <w:uiPriority w:val="99"/>
    <w:unhideWhenUsed/>
    <w:rsid w:val="0081618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816189"/>
    <w:rPr>
      <w:color w:val="0000FF"/>
      <w:u w:val="single"/>
    </w:rPr>
  </w:style>
  <w:style w:type="character" w:styleId="Strong">
    <w:name w:val="Strong"/>
    <w:basedOn w:val="DefaultParagraphFont"/>
    <w:uiPriority w:val="22"/>
    <w:qFormat/>
    <w:rsid w:val="00816189"/>
    <w:rPr>
      <w:b/>
      <w:bCs/>
    </w:rPr>
  </w:style>
  <w:style w:type="paragraph" w:styleId="z-TopofForm">
    <w:name w:val="HTML Top of Form"/>
    <w:basedOn w:val="Normal"/>
    <w:next w:val="Normal"/>
    <w:link w:val="z-TopofFormChar"/>
    <w:hidden/>
    <w:uiPriority w:val="99"/>
    <w:semiHidden/>
    <w:unhideWhenUsed/>
    <w:rsid w:val="00B82408"/>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82408"/>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82408"/>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82408"/>
    <w:rPr>
      <w:rFonts w:ascii="Arial" w:hAnsi="Arial" w:cs="Arial"/>
      <w:vanish/>
      <w:sz w:val="16"/>
      <w:szCs w:val="16"/>
    </w:rPr>
  </w:style>
  <w:style w:type="paragraph" w:styleId="Header">
    <w:name w:val="header"/>
    <w:basedOn w:val="Normal"/>
    <w:link w:val="HeaderChar"/>
    <w:uiPriority w:val="99"/>
    <w:unhideWhenUsed/>
    <w:rsid w:val="00B824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2408"/>
  </w:style>
  <w:style w:type="paragraph" w:styleId="Footer">
    <w:name w:val="footer"/>
    <w:basedOn w:val="Normal"/>
    <w:link w:val="FooterChar"/>
    <w:uiPriority w:val="99"/>
    <w:unhideWhenUsed/>
    <w:rsid w:val="00B824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24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797056">
      <w:bodyDiv w:val="1"/>
      <w:marLeft w:val="0"/>
      <w:marRight w:val="0"/>
      <w:marTop w:val="0"/>
      <w:marBottom w:val="0"/>
      <w:divBdr>
        <w:top w:val="none" w:sz="0" w:space="0" w:color="auto"/>
        <w:left w:val="none" w:sz="0" w:space="0" w:color="auto"/>
        <w:bottom w:val="none" w:sz="0" w:space="0" w:color="auto"/>
        <w:right w:val="none" w:sz="0" w:space="0" w:color="auto"/>
      </w:divBdr>
    </w:div>
    <w:div w:id="199325227">
      <w:bodyDiv w:val="1"/>
      <w:marLeft w:val="0"/>
      <w:marRight w:val="0"/>
      <w:marTop w:val="0"/>
      <w:marBottom w:val="0"/>
      <w:divBdr>
        <w:top w:val="none" w:sz="0" w:space="0" w:color="auto"/>
        <w:left w:val="none" w:sz="0" w:space="0" w:color="auto"/>
        <w:bottom w:val="none" w:sz="0" w:space="0" w:color="auto"/>
        <w:right w:val="none" w:sz="0" w:space="0" w:color="auto"/>
      </w:divBdr>
    </w:div>
    <w:div w:id="268397738">
      <w:bodyDiv w:val="1"/>
      <w:marLeft w:val="0"/>
      <w:marRight w:val="0"/>
      <w:marTop w:val="0"/>
      <w:marBottom w:val="0"/>
      <w:divBdr>
        <w:top w:val="none" w:sz="0" w:space="0" w:color="auto"/>
        <w:left w:val="none" w:sz="0" w:space="0" w:color="auto"/>
        <w:bottom w:val="none" w:sz="0" w:space="0" w:color="auto"/>
        <w:right w:val="none" w:sz="0" w:space="0" w:color="auto"/>
      </w:divBdr>
    </w:div>
    <w:div w:id="394474986">
      <w:bodyDiv w:val="1"/>
      <w:marLeft w:val="0"/>
      <w:marRight w:val="0"/>
      <w:marTop w:val="0"/>
      <w:marBottom w:val="0"/>
      <w:divBdr>
        <w:top w:val="none" w:sz="0" w:space="0" w:color="auto"/>
        <w:left w:val="none" w:sz="0" w:space="0" w:color="auto"/>
        <w:bottom w:val="none" w:sz="0" w:space="0" w:color="auto"/>
        <w:right w:val="none" w:sz="0" w:space="0" w:color="auto"/>
      </w:divBdr>
    </w:div>
    <w:div w:id="519198860">
      <w:bodyDiv w:val="1"/>
      <w:marLeft w:val="0"/>
      <w:marRight w:val="0"/>
      <w:marTop w:val="0"/>
      <w:marBottom w:val="0"/>
      <w:divBdr>
        <w:top w:val="none" w:sz="0" w:space="0" w:color="auto"/>
        <w:left w:val="none" w:sz="0" w:space="0" w:color="auto"/>
        <w:bottom w:val="none" w:sz="0" w:space="0" w:color="auto"/>
        <w:right w:val="none" w:sz="0" w:space="0" w:color="auto"/>
      </w:divBdr>
      <w:divsChild>
        <w:div w:id="1123309558">
          <w:marLeft w:val="150"/>
          <w:marRight w:val="150"/>
          <w:marTop w:val="150"/>
          <w:marBottom w:val="150"/>
          <w:divBdr>
            <w:top w:val="none" w:sz="0" w:space="0" w:color="auto"/>
            <w:left w:val="none" w:sz="0" w:space="0" w:color="auto"/>
            <w:bottom w:val="none" w:sz="0" w:space="0" w:color="auto"/>
            <w:right w:val="none" w:sz="0" w:space="0" w:color="auto"/>
          </w:divBdr>
        </w:div>
      </w:divsChild>
    </w:div>
    <w:div w:id="671109973">
      <w:bodyDiv w:val="1"/>
      <w:marLeft w:val="0"/>
      <w:marRight w:val="0"/>
      <w:marTop w:val="0"/>
      <w:marBottom w:val="0"/>
      <w:divBdr>
        <w:top w:val="none" w:sz="0" w:space="0" w:color="auto"/>
        <w:left w:val="none" w:sz="0" w:space="0" w:color="auto"/>
        <w:bottom w:val="none" w:sz="0" w:space="0" w:color="auto"/>
        <w:right w:val="none" w:sz="0" w:space="0" w:color="auto"/>
      </w:divBdr>
      <w:divsChild>
        <w:div w:id="1016734540">
          <w:marLeft w:val="150"/>
          <w:marRight w:val="150"/>
          <w:marTop w:val="150"/>
          <w:marBottom w:val="150"/>
          <w:divBdr>
            <w:top w:val="none" w:sz="0" w:space="0" w:color="auto"/>
            <w:left w:val="none" w:sz="0" w:space="0" w:color="auto"/>
            <w:bottom w:val="none" w:sz="0" w:space="0" w:color="auto"/>
            <w:right w:val="none" w:sz="0" w:space="0" w:color="auto"/>
          </w:divBdr>
        </w:div>
      </w:divsChild>
    </w:div>
    <w:div w:id="709719909">
      <w:bodyDiv w:val="1"/>
      <w:marLeft w:val="0"/>
      <w:marRight w:val="0"/>
      <w:marTop w:val="0"/>
      <w:marBottom w:val="0"/>
      <w:divBdr>
        <w:top w:val="none" w:sz="0" w:space="0" w:color="auto"/>
        <w:left w:val="none" w:sz="0" w:space="0" w:color="auto"/>
        <w:bottom w:val="none" w:sz="0" w:space="0" w:color="auto"/>
        <w:right w:val="none" w:sz="0" w:space="0" w:color="auto"/>
      </w:divBdr>
    </w:div>
    <w:div w:id="793451691">
      <w:bodyDiv w:val="1"/>
      <w:marLeft w:val="0"/>
      <w:marRight w:val="0"/>
      <w:marTop w:val="0"/>
      <w:marBottom w:val="0"/>
      <w:divBdr>
        <w:top w:val="none" w:sz="0" w:space="0" w:color="auto"/>
        <w:left w:val="none" w:sz="0" w:space="0" w:color="auto"/>
        <w:bottom w:val="none" w:sz="0" w:space="0" w:color="auto"/>
        <w:right w:val="none" w:sz="0" w:space="0" w:color="auto"/>
      </w:divBdr>
    </w:div>
    <w:div w:id="945045382">
      <w:bodyDiv w:val="1"/>
      <w:marLeft w:val="0"/>
      <w:marRight w:val="0"/>
      <w:marTop w:val="0"/>
      <w:marBottom w:val="0"/>
      <w:divBdr>
        <w:top w:val="none" w:sz="0" w:space="0" w:color="auto"/>
        <w:left w:val="none" w:sz="0" w:space="0" w:color="auto"/>
        <w:bottom w:val="none" w:sz="0" w:space="0" w:color="auto"/>
        <w:right w:val="none" w:sz="0" w:space="0" w:color="auto"/>
      </w:divBdr>
    </w:div>
    <w:div w:id="994601736">
      <w:bodyDiv w:val="1"/>
      <w:marLeft w:val="0"/>
      <w:marRight w:val="0"/>
      <w:marTop w:val="0"/>
      <w:marBottom w:val="0"/>
      <w:divBdr>
        <w:top w:val="none" w:sz="0" w:space="0" w:color="auto"/>
        <w:left w:val="none" w:sz="0" w:space="0" w:color="auto"/>
        <w:bottom w:val="none" w:sz="0" w:space="0" w:color="auto"/>
        <w:right w:val="none" w:sz="0" w:space="0" w:color="auto"/>
      </w:divBdr>
      <w:divsChild>
        <w:div w:id="1225407297">
          <w:marLeft w:val="0"/>
          <w:marRight w:val="0"/>
          <w:marTop w:val="0"/>
          <w:marBottom w:val="0"/>
          <w:divBdr>
            <w:top w:val="none" w:sz="0" w:space="0" w:color="auto"/>
            <w:left w:val="none" w:sz="0" w:space="0" w:color="auto"/>
            <w:bottom w:val="none" w:sz="0" w:space="0" w:color="auto"/>
            <w:right w:val="none" w:sz="0" w:space="0" w:color="auto"/>
          </w:divBdr>
          <w:divsChild>
            <w:div w:id="986858520">
              <w:marLeft w:val="0"/>
              <w:marRight w:val="0"/>
              <w:marTop w:val="0"/>
              <w:marBottom w:val="0"/>
              <w:divBdr>
                <w:top w:val="none" w:sz="0" w:space="0" w:color="auto"/>
                <w:left w:val="none" w:sz="0" w:space="0" w:color="auto"/>
                <w:bottom w:val="none" w:sz="0" w:space="0" w:color="auto"/>
                <w:right w:val="none" w:sz="0" w:space="0" w:color="auto"/>
              </w:divBdr>
            </w:div>
            <w:div w:id="2010673916">
              <w:marLeft w:val="0"/>
              <w:marRight w:val="0"/>
              <w:marTop w:val="0"/>
              <w:marBottom w:val="0"/>
              <w:divBdr>
                <w:top w:val="none" w:sz="0" w:space="0" w:color="auto"/>
                <w:left w:val="none" w:sz="0" w:space="0" w:color="auto"/>
                <w:bottom w:val="none" w:sz="0" w:space="0" w:color="auto"/>
                <w:right w:val="none" w:sz="0" w:space="0" w:color="auto"/>
              </w:divBdr>
            </w:div>
            <w:div w:id="1511876142">
              <w:marLeft w:val="0"/>
              <w:marRight w:val="0"/>
              <w:marTop w:val="0"/>
              <w:marBottom w:val="0"/>
              <w:divBdr>
                <w:top w:val="none" w:sz="0" w:space="0" w:color="auto"/>
                <w:left w:val="none" w:sz="0" w:space="0" w:color="auto"/>
                <w:bottom w:val="none" w:sz="0" w:space="0" w:color="auto"/>
                <w:right w:val="none" w:sz="0" w:space="0" w:color="auto"/>
              </w:divBdr>
            </w:div>
            <w:div w:id="29140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4105">
      <w:bodyDiv w:val="1"/>
      <w:marLeft w:val="0"/>
      <w:marRight w:val="0"/>
      <w:marTop w:val="0"/>
      <w:marBottom w:val="0"/>
      <w:divBdr>
        <w:top w:val="none" w:sz="0" w:space="0" w:color="auto"/>
        <w:left w:val="none" w:sz="0" w:space="0" w:color="auto"/>
        <w:bottom w:val="none" w:sz="0" w:space="0" w:color="auto"/>
        <w:right w:val="none" w:sz="0" w:space="0" w:color="auto"/>
      </w:divBdr>
    </w:div>
    <w:div w:id="1392927588">
      <w:bodyDiv w:val="1"/>
      <w:marLeft w:val="0"/>
      <w:marRight w:val="0"/>
      <w:marTop w:val="0"/>
      <w:marBottom w:val="0"/>
      <w:divBdr>
        <w:top w:val="none" w:sz="0" w:space="0" w:color="auto"/>
        <w:left w:val="none" w:sz="0" w:space="0" w:color="auto"/>
        <w:bottom w:val="none" w:sz="0" w:space="0" w:color="auto"/>
        <w:right w:val="none" w:sz="0" w:space="0" w:color="auto"/>
      </w:divBdr>
    </w:div>
    <w:div w:id="1743332651">
      <w:bodyDiv w:val="1"/>
      <w:marLeft w:val="0"/>
      <w:marRight w:val="0"/>
      <w:marTop w:val="0"/>
      <w:marBottom w:val="0"/>
      <w:divBdr>
        <w:top w:val="none" w:sz="0" w:space="0" w:color="auto"/>
        <w:left w:val="none" w:sz="0" w:space="0" w:color="auto"/>
        <w:bottom w:val="none" w:sz="0" w:space="0" w:color="auto"/>
        <w:right w:val="none" w:sz="0" w:space="0" w:color="auto"/>
      </w:divBdr>
    </w:div>
    <w:div w:id="1886331040">
      <w:bodyDiv w:val="1"/>
      <w:marLeft w:val="0"/>
      <w:marRight w:val="0"/>
      <w:marTop w:val="0"/>
      <w:marBottom w:val="0"/>
      <w:divBdr>
        <w:top w:val="none" w:sz="0" w:space="0" w:color="auto"/>
        <w:left w:val="none" w:sz="0" w:space="0" w:color="auto"/>
        <w:bottom w:val="none" w:sz="0" w:space="0" w:color="auto"/>
        <w:right w:val="none" w:sz="0" w:space="0" w:color="auto"/>
      </w:divBdr>
    </w:div>
    <w:div w:id="1988821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openxmlformats.org/officeDocument/2006/relationships/settings" Target="settings.xml"/><Relationship Id="rId7" Type="http://schemas.openxmlformats.org/officeDocument/2006/relationships/hyperlink" Target="javascript:voi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1499</Words>
  <Characters>8099</Characters>
  <Application>Microsoft Office Word</Application>
  <DocSecurity>0</DocSecurity>
  <Lines>207</Lines>
  <Paragraphs>126</Paragraphs>
  <ScaleCrop>false</ScaleCrop>
  <Company/>
  <LinksUpToDate>false</LinksUpToDate>
  <CharactersWithSpaces>9472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2023-02-16T11:34:00Z</dcterms:created>
  <dcterms:modified xsi:type="dcterms:W3CDTF">2023-02-16T11:34:00Z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e31207f878b482c7aa09b619a54914da3a9c58c34b8c3c85fae21297ef8e1ed1</vt:lpwstr>
  </property>
</Properties>
</file>