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C1CF4" w14:textId="77777777" w:rsidR="003B39E9" w:rsidRDefault="003B39E9" w:rsidP="003802DD">
      <w:pPr>
        <w:jc w:val="both"/>
      </w:pPr>
    </w:p>
    <w:p w14:paraId="32A46166" w14:textId="04457A29" w:rsidR="003802DD" w:rsidRDefault="003802DD" w:rsidP="003802DD">
      <w:pPr>
        <w:jc w:val="both"/>
      </w:pPr>
      <w:r w:rsidRPr="003802DD">
        <w:t xml:space="preserve">When </w:t>
      </w:r>
      <w:r>
        <w:t xml:space="preserve">you </w:t>
      </w:r>
      <w:r w:rsidRPr="003802DD">
        <w:t xml:space="preserve">have a reading something, </w:t>
      </w:r>
      <w:r>
        <w:t>try and determine what level of Bloom’s Taxonomy you are functioning at?  At what level is your braining functioning?  And thus, at what level is it changing you?</w:t>
      </w:r>
    </w:p>
    <w:p w14:paraId="1AAEEA1D" w14:textId="77777777" w:rsidR="003B39E9" w:rsidRDefault="003B39E9" w:rsidP="003802DD">
      <w:pPr>
        <w:jc w:val="both"/>
      </w:pPr>
    </w:p>
    <w:p w14:paraId="2AA624E7" w14:textId="779B6B59" w:rsidR="003802DD" w:rsidRDefault="003802DD" w:rsidP="003802DD">
      <w:pPr>
        <w:jc w:val="both"/>
      </w:pPr>
      <w:r>
        <w:t xml:space="preserve">Below is Bloom’s Taxonomy for the Knowledge domain.  The “higher up” the table you go, the more complex the cognitive thinking, processing and functioning.   The deeper the learning. </w:t>
      </w:r>
    </w:p>
    <w:tbl>
      <w:tblPr>
        <w:tblStyle w:val="TableGrid"/>
        <w:tblpPr w:leftFromText="180" w:rightFromText="180" w:vertAnchor="text" w:horzAnchor="margin" w:tblpXSpec="right" w:tblpY="789"/>
        <w:tblW w:w="0" w:type="auto"/>
        <w:tblLook w:val="04A0" w:firstRow="1" w:lastRow="0" w:firstColumn="1" w:lastColumn="0" w:noHBand="0" w:noVBand="1"/>
      </w:tblPr>
      <w:tblGrid>
        <w:gridCol w:w="2017"/>
        <w:gridCol w:w="3005"/>
        <w:gridCol w:w="3006"/>
      </w:tblGrid>
      <w:tr w:rsidR="003802DD" w14:paraId="1604B968" w14:textId="77777777" w:rsidTr="003802DD">
        <w:tc>
          <w:tcPr>
            <w:tcW w:w="2017" w:type="dxa"/>
          </w:tcPr>
          <w:p w14:paraId="1DEF1101" w14:textId="64AF9C9C" w:rsidR="003802DD" w:rsidRPr="003802DD" w:rsidRDefault="003802DD" w:rsidP="003802DD">
            <w:pPr>
              <w:spacing w:line="281" w:lineRule="auto"/>
              <w:jc w:val="center"/>
              <w:rPr>
                <w:b/>
                <w:color w:val="C45911" w:themeColor="accent2" w:themeShade="BF"/>
                <w:sz w:val="24"/>
              </w:rPr>
            </w:pPr>
            <w:r w:rsidRPr="003802DD">
              <w:rPr>
                <w:b/>
                <w:color w:val="C45911" w:themeColor="accent2" w:themeShade="BF"/>
                <w:sz w:val="24"/>
              </w:rPr>
              <w:t>Level of Thinking</w:t>
            </w:r>
          </w:p>
        </w:tc>
        <w:tc>
          <w:tcPr>
            <w:tcW w:w="3005" w:type="dxa"/>
          </w:tcPr>
          <w:p w14:paraId="776C1586" w14:textId="4017ED1B" w:rsidR="003802DD" w:rsidRPr="003802DD" w:rsidRDefault="003802DD" w:rsidP="003802DD">
            <w:pPr>
              <w:spacing w:line="281" w:lineRule="auto"/>
              <w:jc w:val="center"/>
              <w:rPr>
                <w:b/>
                <w:color w:val="C45911" w:themeColor="accent2" w:themeShade="BF"/>
                <w:sz w:val="24"/>
              </w:rPr>
            </w:pPr>
            <w:r w:rsidRPr="003802DD">
              <w:rPr>
                <w:b/>
                <w:color w:val="C45911" w:themeColor="accent2" w:themeShade="BF"/>
                <w:sz w:val="24"/>
              </w:rPr>
              <w:t>Comprehension Statement</w:t>
            </w:r>
          </w:p>
        </w:tc>
        <w:tc>
          <w:tcPr>
            <w:tcW w:w="3006" w:type="dxa"/>
          </w:tcPr>
          <w:p w14:paraId="08829E6F" w14:textId="70EFF5E1" w:rsidR="003802DD" w:rsidRPr="003802DD" w:rsidRDefault="003802DD" w:rsidP="003802DD">
            <w:pPr>
              <w:spacing w:line="281" w:lineRule="auto"/>
              <w:jc w:val="center"/>
              <w:rPr>
                <w:b/>
                <w:color w:val="C45911" w:themeColor="accent2" w:themeShade="BF"/>
                <w:sz w:val="24"/>
              </w:rPr>
            </w:pPr>
            <w:r w:rsidRPr="003802DD">
              <w:rPr>
                <w:b/>
                <w:color w:val="C45911" w:themeColor="accent2" w:themeShade="BF"/>
                <w:sz w:val="24"/>
              </w:rPr>
              <w:t>Focusing Question</w:t>
            </w:r>
          </w:p>
        </w:tc>
      </w:tr>
      <w:tr w:rsidR="003802DD" w14:paraId="45C63041" w14:textId="77777777" w:rsidTr="003802DD">
        <w:tc>
          <w:tcPr>
            <w:tcW w:w="2017" w:type="dxa"/>
          </w:tcPr>
          <w:p w14:paraId="4E497D48" w14:textId="77777777" w:rsidR="003802DD" w:rsidRPr="003802DD" w:rsidRDefault="003802DD" w:rsidP="003802DD">
            <w:pPr>
              <w:spacing w:line="281" w:lineRule="auto"/>
              <w:rPr>
                <w:b/>
                <w:color w:val="0070C0"/>
                <w:sz w:val="24"/>
              </w:rPr>
            </w:pPr>
            <w:r w:rsidRPr="003802DD">
              <w:rPr>
                <w:b/>
                <w:color w:val="0070C0"/>
                <w:sz w:val="24"/>
              </w:rPr>
              <w:t xml:space="preserve">Creating  </w:t>
            </w:r>
          </w:p>
        </w:tc>
        <w:tc>
          <w:tcPr>
            <w:tcW w:w="3005" w:type="dxa"/>
          </w:tcPr>
          <w:p w14:paraId="74581D54" w14:textId="77777777" w:rsidR="003802DD" w:rsidRDefault="003802DD" w:rsidP="003802DD">
            <w:pPr>
              <w:spacing w:line="281" w:lineRule="auto"/>
            </w:pPr>
            <w:r w:rsidRPr="003802DD">
              <w:t>I have created new knowledge</w:t>
            </w:r>
            <w:r>
              <w:t>.</w:t>
            </w:r>
          </w:p>
        </w:tc>
        <w:tc>
          <w:tcPr>
            <w:tcW w:w="3006" w:type="dxa"/>
          </w:tcPr>
          <w:p w14:paraId="736A081D" w14:textId="77777777" w:rsidR="003802DD" w:rsidRDefault="003802DD" w:rsidP="003802DD">
            <w:pPr>
              <w:spacing w:line="281" w:lineRule="auto"/>
            </w:pPr>
            <w:r>
              <w:t>H</w:t>
            </w:r>
            <w:r w:rsidRPr="003802DD">
              <w:t>ow has this author change</w:t>
            </w:r>
            <w:r>
              <w:t>d</w:t>
            </w:r>
            <w:r w:rsidRPr="003802DD">
              <w:t xml:space="preserve"> what I understand</w:t>
            </w:r>
            <w:r>
              <w:t>?</w:t>
            </w:r>
          </w:p>
        </w:tc>
      </w:tr>
      <w:tr w:rsidR="003802DD" w14:paraId="5A6E6F05" w14:textId="77777777" w:rsidTr="003802DD">
        <w:tc>
          <w:tcPr>
            <w:tcW w:w="2017" w:type="dxa"/>
          </w:tcPr>
          <w:p w14:paraId="5F3600DB" w14:textId="77777777" w:rsidR="003802DD" w:rsidRPr="003802DD" w:rsidRDefault="003802DD" w:rsidP="003802DD">
            <w:pPr>
              <w:spacing w:line="281" w:lineRule="auto"/>
              <w:rPr>
                <w:b/>
                <w:color w:val="0070C0"/>
                <w:sz w:val="24"/>
              </w:rPr>
            </w:pPr>
            <w:r w:rsidRPr="003802DD">
              <w:rPr>
                <w:b/>
                <w:color w:val="0070C0"/>
                <w:sz w:val="24"/>
              </w:rPr>
              <w:t xml:space="preserve">Evaluating  </w:t>
            </w:r>
          </w:p>
        </w:tc>
        <w:tc>
          <w:tcPr>
            <w:tcW w:w="3005" w:type="dxa"/>
          </w:tcPr>
          <w:p w14:paraId="35CBCA32" w14:textId="77777777" w:rsidR="003802DD" w:rsidRDefault="003802DD" w:rsidP="003802DD">
            <w:pPr>
              <w:spacing w:line="281" w:lineRule="auto"/>
            </w:pPr>
            <w:r w:rsidRPr="003802DD">
              <w:t>I can critically examine this authors message</w:t>
            </w:r>
            <w:r>
              <w:t>.</w:t>
            </w:r>
          </w:p>
        </w:tc>
        <w:tc>
          <w:tcPr>
            <w:tcW w:w="3006" w:type="dxa"/>
          </w:tcPr>
          <w:p w14:paraId="6618A492" w14:textId="77777777" w:rsidR="003802DD" w:rsidRDefault="003802DD" w:rsidP="003802DD">
            <w:pPr>
              <w:spacing w:line="281" w:lineRule="auto"/>
            </w:pPr>
            <w:r>
              <w:t>H</w:t>
            </w:r>
            <w:r w:rsidRPr="003802DD">
              <w:t>ow has the author</w:t>
            </w:r>
            <w:r>
              <w:t>’</w:t>
            </w:r>
            <w:r w:rsidRPr="003802DD">
              <w:t xml:space="preserve">s perspective </w:t>
            </w:r>
            <w:r>
              <w:t xml:space="preserve">influence what he/she </w:t>
            </w:r>
            <w:r w:rsidRPr="003802DD">
              <w:t>tells me</w:t>
            </w:r>
            <w:r>
              <w:t>?</w:t>
            </w:r>
          </w:p>
        </w:tc>
      </w:tr>
      <w:tr w:rsidR="003802DD" w14:paraId="564824B0" w14:textId="77777777" w:rsidTr="003802DD">
        <w:tc>
          <w:tcPr>
            <w:tcW w:w="2017" w:type="dxa"/>
          </w:tcPr>
          <w:p w14:paraId="59A607EE" w14:textId="77777777" w:rsidR="003802DD" w:rsidRPr="003802DD" w:rsidRDefault="003802DD" w:rsidP="003802DD">
            <w:pPr>
              <w:spacing w:line="281" w:lineRule="auto"/>
              <w:rPr>
                <w:b/>
                <w:color w:val="0070C0"/>
                <w:sz w:val="24"/>
              </w:rPr>
            </w:pPr>
            <w:r w:rsidRPr="003802DD">
              <w:rPr>
                <w:b/>
                <w:color w:val="0070C0"/>
                <w:sz w:val="24"/>
              </w:rPr>
              <w:t xml:space="preserve">Analysing  </w:t>
            </w:r>
          </w:p>
        </w:tc>
        <w:tc>
          <w:tcPr>
            <w:tcW w:w="3005" w:type="dxa"/>
          </w:tcPr>
          <w:p w14:paraId="518B0BA1" w14:textId="77777777" w:rsidR="003802DD" w:rsidRDefault="003802DD" w:rsidP="003802DD">
            <w:pPr>
              <w:spacing w:line="281" w:lineRule="auto"/>
            </w:pPr>
            <w:r w:rsidRPr="003802DD">
              <w:t>I can take my understanding to deeper level</w:t>
            </w:r>
            <w:r>
              <w:t>.</w:t>
            </w:r>
          </w:p>
        </w:tc>
        <w:tc>
          <w:tcPr>
            <w:tcW w:w="3006" w:type="dxa"/>
          </w:tcPr>
          <w:p w14:paraId="5E49F4FB" w14:textId="77777777" w:rsidR="003802DD" w:rsidRDefault="003802DD" w:rsidP="003802DD">
            <w:pPr>
              <w:spacing w:line="281" w:lineRule="auto"/>
            </w:pPr>
            <w:r w:rsidRPr="003802DD">
              <w:t xml:space="preserve">how is this </w:t>
            </w:r>
            <w:proofErr w:type="gramStart"/>
            <w:r>
              <w:t>similar to</w:t>
            </w:r>
            <w:proofErr w:type="gramEnd"/>
            <w:r>
              <w:t xml:space="preserve"> (or</w:t>
            </w:r>
            <w:r w:rsidRPr="003802DD">
              <w:t xml:space="preserve"> different from</w:t>
            </w:r>
            <w:r>
              <w:t xml:space="preserve">) </w:t>
            </w:r>
            <w:r w:rsidRPr="003802DD">
              <w:t>other material I</w:t>
            </w:r>
            <w:r>
              <w:t>’ve read?</w:t>
            </w:r>
          </w:p>
        </w:tc>
      </w:tr>
      <w:tr w:rsidR="003802DD" w14:paraId="5EDE4F32" w14:textId="77777777" w:rsidTr="003802DD">
        <w:tc>
          <w:tcPr>
            <w:tcW w:w="2017" w:type="dxa"/>
          </w:tcPr>
          <w:p w14:paraId="28B4562C" w14:textId="77777777" w:rsidR="003802DD" w:rsidRPr="003802DD" w:rsidRDefault="003802DD" w:rsidP="003802DD">
            <w:pPr>
              <w:spacing w:line="281" w:lineRule="auto"/>
              <w:rPr>
                <w:b/>
                <w:color w:val="0070C0"/>
                <w:sz w:val="24"/>
              </w:rPr>
            </w:pPr>
            <w:r w:rsidRPr="003802DD">
              <w:rPr>
                <w:b/>
                <w:color w:val="0070C0"/>
                <w:sz w:val="24"/>
              </w:rPr>
              <w:t xml:space="preserve">Applying </w:t>
            </w:r>
          </w:p>
        </w:tc>
        <w:tc>
          <w:tcPr>
            <w:tcW w:w="3005" w:type="dxa"/>
          </w:tcPr>
          <w:p w14:paraId="295A8E7B" w14:textId="77777777" w:rsidR="003802DD" w:rsidRDefault="003802DD" w:rsidP="003802DD">
            <w:pPr>
              <w:spacing w:line="281" w:lineRule="auto"/>
            </w:pPr>
            <w:r w:rsidRPr="003802DD">
              <w:t>I can use my understanding in some meaningful way</w:t>
            </w:r>
            <w:r>
              <w:t>.</w:t>
            </w:r>
            <w:r w:rsidRPr="003802DD">
              <w:t xml:space="preserve"> </w:t>
            </w:r>
          </w:p>
        </w:tc>
        <w:tc>
          <w:tcPr>
            <w:tcW w:w="3006" w:type="dxa"/>
          </w:tcPr>
          <w:p w14:paraId="1218DCE1" w14:textId="77777777" w:rsidR="003802DD" w:rsidRDefault="003802DD" w:rsidP="003802DD">
            <w:pPr>
              <w:spacing w:line="281" w:lineRule="auto"/>
            </w:pPr>
            <w:r>
              <w:t>H</w:t>
            </w:r>
            <w:r w:rsidRPr="003802DD">
              <w:t xml:space="preserve">ow can I connect what this </w:t>
            </w:r>
            <w:r>
              <w:t>author</w:t>
            </w:r>
            <w:r w:rsidRPr="003802DD">
              <w:t xml:space="preserve"> is telling me to understand something better? </w:t>
            </w:r>
          </w:p>
        </w:tc>
      </w:tr>
      <w:tr w:rsidR="003802DD" w14:paraId="6E169F1D" w14:textId="77777777" w:rsidTr="003802DD">
        <w:tc>
          <w:tcPr>
            <w:tcW w:w="2017" w:type="dxa"/>
          </w:tcPr>
          <w:p w14:paraId="1191187E" w14:textId="77777777" w:rsidR="003802DD" w:rsidRPr="003802DD" w:rsidRDefault="003802DD" w:rsidP="003802DD">
            <w:pPr>
              <w:spacing w:line="281" w:lineRule="auto"/>
              <w:rPr>
                <w:b/>
                <w:color w:val="0070C0"/>
                <w:sz w:val="24"/>
              </w:rPr>
            </w:pPr>
            <w:r w:rsidRPr="003802DD">
              <w:rPr>
                <w:b/>
                <w:color w:val="0070C0"/>
                <w:sz w:val="24"/>
              </w:rPr>
              <w:t xml:space="preserve">Understanding </w:t>
            </w:r>
          </w:p>
        </w:tc>
        <w:tc>
          <w:tcPr>
            <w:tcW w:w="3005" w:type="dxa"/>
          </w:tcPr>
          <w:p w14:paraId="06655FC3" w14:textId="77777777" w:rsidR="003802DD" w:rsidRDefault="003802DD" w:rsidP="003802DD">
            <w:pPr>
              <w:spacing w:line="281" w:lineRule="auto"/>
            </w:pPr>
            <w:r w:rsidRPr="003802DD">
              <w:t>I can understand what the</w:t>
            </w:r>
            <w:r>
              <w:t xml:space="preserve"> author </w:t>
            </w:r>
            <w:r w:rsidRPr="003802DD">
              <w:t>is telling me</w:t>
            </w:r>
            <w:r>
              <w:t>.</w:t>
            </w:r>
            <w:r w:rsidRPr="003802DD">
              <w:t xml:space="preserve"> </w:t>
            </w:r>
          </w:p>
        </w:tc>
        <w:tc>
          <w:tcPr>
            <w:tcW w:w="3006" w:type="dxa"/>
          </w:tcPr>
          <w:p w14:paraId="7A1761FA" w14:textId="77777777" w:rsidR="003802DD" w:rsidRDefault="003802DD" w:rsidP="003802DD">
            <w:pPr>
              <w:spacing w:line="281" w:lineRule="auto"/>
            </w:pPr>
            <w:r>
              <w:t>W</w:t>
            </w:r>
            <w:r w:rsidRPr="003802DD">
              <w:t xml:space="preserve">hat does this </w:t>
            </w:r>
            <w:r>
              <w:t>author</w:t>
            </w:r>
            <w:r w:rsidRPr="003802DD">
              <w:t xml:space="preserve"> want me to understand? </w:t>
            </w:r>
          </w:p>
        </w:tc>
      </w:tr>
      <w:tr w:rsidR="003802DD" w14:paraId="6C0A4368" w14:textId="77777777" w:rsidTr="003802DD">
        <w:tc>
          <w:tcPr>
            <w:tcW w:w="2017" w:type="dxa"/>
          </w:tcPr>
          <w:p w14:paraId="74E31FEE" w14:textId="77777777" w:rsidR="003802DD" w:rsidRPr="003802DD" w:rsidRDefault="003802DD" w:rsidP="003802DD">
            <w:pPr>
              <w:spacing w:line="281" w:lineRule="auto"/>
              <w:rPr>
                <w:b/>
                <w:color w:val="0070C0"/>
                <w:sz w:val="24"/>
              </w:rPr>
            </w:pPr>
            <w:r w:rsidRPr="003802DD">
              <w:rPr>
                <w:b/>
                <w:color w:val="0070C0"/>
                <w:sz w:val="24"/>
              </w:rPr>
              <w:t xml:space="preserve">Remembering </w:t>
            </w:r>
          </w:p>
        </w:tc>
        <w:tc>
          <w:tcPr>
            <w:tcW w:w="3005" w:type="dxa"/>
          </w:tcPr>
          <w:p w14:paraId="484CEC2A" w14:textId="77777777" w:rsidR="003802DD" w:rsidRDefault="003802DD" w:rsidP="003802DD">
            <w:pPr>
              <w:spacing w:line="281" w:lineRule="auto"/>
            </w:pPr>
            <w:r w:rsidRPr="003802DD">
              <w:t>I can recall specific details</w:t>
            </w:r>
            <w:r>
              <w:t xml:space="preserve">, </w:t>
            </w:r>
            <w:r w:rsidRPr="003802DD">
              <w:t xml:space="preserve">information </w:t>
            </w:r>
            <w:r>
              <w:t>and</w:t>
            </w:r>
            <w:r w:rsidRPr="003802DD">
              <w:t xml:space="preserve"> ideas from this text</w:t>
            </w:r>
            <w:r>
              <w:t>.</w:t>
            </w:r>
          </w:p>
        </w:tc>
        <w:tc>
          <w:tcPr>
            <w:tcW w:w="3006" w:type="dxa"/>
          </w:tcPr>
          <w:p w14:paraId="4A0CE717" w14:textId="77777777" w:rsidR="003802DD" w:rsidRDefault="003802DD" w:rsidP="003802DD">
            <w:pPr>
              <w:spacing w:line="281" w:lineRule="auto"/>
            </w:pPr>
            <w:r>
              <w:t>W</w:t>
            </w:r>
            <w:r w:rsidRPr="003802DD">
              <w:t>hat do I need to remember to make sense of this text</w:t>
            </w:r>
            <w:r>
              <w:t>?</w:t>
            </w:r>
          </w:p>
        </w:tc>
      </w:tr>
    </w:tbl>
    <w:p w14:paraId="1BA2AE16" w14:textId="6D3095D0" w:rsidR="003802DD" w:rsidRPr="003802DD" w:rsidRDefault="003802DD" w:rsidP="003802DD">
      <w:pPr>
        <w:spacing w:after="0" w:line="281" w:lineRule="auto"/>
        <w:jc w:val="center"/>
        <w:rPr>
          <w:rFonts w:ascii="Garamond" w:hAnsi="Garamond"/>
        </w:rPr>
      </w:pPr>
    </w:p>
    <w:p w14:paraId="08C57BD5" w14:textId="7BF045DE" w:rsidR="006E621A" w:rsidRPr="003802DD" w:rsidRDefault="003802DD" w:rsidP="003802DD">
      <w:pPr>
        <w:spacing w:after="0" w:line="281" w:lineRule="auto"/>
        <w:jc w:val="center"/>
        <w:rPr>
          <w:rFonts w:ascii="Garamond" w:hAnsi="Garamond"/>
          <w:b/>
        </w:rPr>
      </w:pPr>
      <w:r w:rsidRPr="003802DD">
        <w:rPr>
          <w:rFonts w:ascii="Garamond" w:hAnsi="Garamond"/>
          <w:b/>
        </w:rPr>
        <w:t>Self-Questioning Chart for Learners (Bloom’s Taxonomy)</w:t>
      </w:r>
    </w:p>
    <w:p w14:paraId="71409402" w14:textId="61F92E11" w:rsidR="003802DD" w:rsidRDefault="003802DD" w:rsidP="003802DD">
      <w:pPr>
        <w:spacing w:after="0" w:line="281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CAAC7F" wp14:editId="6E227A19">
                <wp:simplePos x="0" y="0"/>
                <wp:positionH relativeFrom="column">
                  <wp:posOffset>435184</wp:posOffset>
                </wp:positionH>
                <wp:positionV relativeFrom="paragraph">
                  <wp:posOffset>175962</wp:posOffset>
                </wp:positionV>
                <wp:extent cx="0" cy="3323230"/>
                <wp:effectExtent l="114300" t="38100" r="76200" b="1079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2323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8476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4.25pt;margin-top:13.85pt;width:0;height:261.6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" strokecolor="#4472c4 [3204]" strokeweight="4.5pt">
                <v:stroke endarrow="block" joinstyle="miter"/>
              </v:shape>
            </w:pict>
          </mc:Fallback>
        </mc:AlternateContent>
      </w:r>
    </w:p>
    <w:p w14:paraId="6E50A01A" w14:textId="0C49D244" w:rsidR="003802DD" w:rsidRDefault="003802DD" w:rsidP="003802DD">
      <w:pPr>
        <w:spacing w:after="0" w:line="281" w:lineRule="auto"/>
      </w:pPr>
    </w:p>
    <w:p w14:paraId="75B1A341" w14:textId="5D59729F" w:rsidR="003802DD" w:rsidRDefault="003802DD" w:rsidP="003802DD">
      <w:pPr>
        <w:spacing w:after="0" w:line="281" w:lineRule="auto"/>
      </w:pPr>
      <w:r w:rsidRPr="003802DD">
        <w:rPr>
          <w:b/>
          <w:noProof/>
          <w:color w:val="0070C0"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3AE063" wp14:editId="758EC151">
                <wp:simplePos x="0" y="0"/>
                <wp:positionH relativeFrom="column">
                  <wp:posOffset>-330835</wp:posOffset>
                </wp:positionH>
                <wp:positionV relativeFrom="paragraph">
                  <wp:posOffset>793115</wp:posOffset>
                </wp:positionV>
                <wp:extent cx="2360930" cy="1404620"/>
                <wp:effectExtent l="0" t="8255" r="0" b="0"/>
                <wp:wrapThrough wrapText="bothSides">
                  <wp:wrapPolygon edited="0">
                    <wp:start x="21676" y="450"/>
                    <wp:lineTo x="238" y="450"/>
                    <wp:lineTo x="238" y="20181"/>
                    <wp:lineTo x="21676" y="20181"/>
                    <wp:lineTo x="21676" y="45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91A38" w14:textId="5949472B" w:rsidR="003802DD" w:rsidRDefault="003802DD">
                            <w:r>
                              <w:t>The deeper and complex the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AE0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05pt;margin-top:62.45pt;width:185.9pt;height:110.6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" stroked="f">
                <v:textbox style="mso-fit-shape-to-text:t">
                  <w:txbxContent>
                    <w:p w14:paraId="44A91A38" w14:textId="5949472B" w:rsidR="003802DD" w:rsidRDefault="003802DD">
                      <w:r>
                        <w:t>The deeper and complex the learning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A308B91" w14:textId="494CE07C" w:rsidR="003802DD" w:rsidRDefault="003802DD"/>
    <w:p w14:paraId="254CCC0A" w14:textId="0E3C710E" w:rsidR="003802DD" w:rsidRDefault="003802DD"/>
    <w:p w14:paraId="3FC9DC42" w14:textId="3E13B654" w:rsidR="003802DD" w:rsidRDefault="003802DD" w:rsidP="003802DD">
      <w:pPr>
        <w:jc w:val="right"/>
      </w:pPr>
      <w:bookmarkStart w:id="0" w:name="_GoBack"/>
      <w:bookmarkEnd w:id="0"/>
      <w:r>
        <w:t xml:space="preserve">Doug </w:t>
      </w:r>
      <w:proofErr w:type="spellStart"/>
      <w:r>
        <w:t>Buehl</w:t>
      </w:r>
      <w:proofErr w:type="spellEnd"/>
      <w:r>
        <w:t xml:space="preserve"> (2007)</w:t>
      </w:r>
    </w:p>
    <w:sectPr w:rsidR="003802D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9B5D9" w14:textId="77777777" w:rsidR="005154D5" w:rsidRDefault="005154D5" w:rsidP="003802DD">
      <w:pPr>
        <w:spacing w:after="0" w:line="240" w:lineRule="auto"/>
      </w:pPr>
      <w:r>
        <w:separator/>
      </w:r>
    </w:p>
  </w:endnote>
  <w:endnote w:type="continuationSeparator" w:id="0">
    <w:p w14:paraId="264497AF" w14:textId="77777777" w:rsidR="005154D5" w:rsidRDefault="005154D5" w:rsidP="0038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6AC56" w14:textId="777EB1FC" w:rsidR="003B39E9" w:rsidRPr="003B39E9" w:rsidRDefault="003B39E9" w:rsidP="003B39E9">
    <w:pPr>
      <w:pStyle w:val="Footer"/>
      <w:jc w:val="right"/>
      <w:rPr>
        <w:i/>
        <w:sz w:val="18"/>
      </w:rPr>
    </w:pPr>
    <w:r w:rsidRPr="003B39E9">
      <w:rPr>
        <w:i/>
        <w:sz w:val="18"/>
      </w:rPr>
      <w:t xml:space="preserve">Dr Ramesh Mehay, Programme Director (Bradford), </w:t>
    </w:r>
    <w:hyperlink r:id="rId1" w:history="1">
      <w:r w:rsidRPr="003B39E9">
        <w:rPr>
          <w:rStyle w:val="Hyperlink"/>
          <w:i/>
          <w:sz w:val="18"/>
        </w:rPr>
        <w:t>www.bradfordvts.co.uk</w:t>
      </w:r>
    </w:hyperlink>
    <w:r w:rsidRPr="003B39E9">
      <w:rPr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AE16F" w14:textId="77777777" w:rsidR="005154D5" w:rsidRDefault="005154D5" w:rsidP="003802DD">
      <w:pPr>
        <w:spacing w:after="0" w:line="240" w:lineRule="auto"/>
      </w:pPr>
      <w:r>
        <w:separator/>
      </w:r>
    </w:p>
  </w:footnote>
  <w:footnote w:type="continuationSeparator" w:id="0">
    <w:p w14:paraId="3427F421" w14:textId="77777777" w:rsidR="005154D5" w:rsidRDefault="005154D5" w:rsidP="00380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2EA79" w14:textId="2250792D" w:rsidR="003802DD" w:rsidRPr="003802DD" w:rsidRDefault="003802DD" w:rsidP="003802DD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Reflecti</w:t>
    </w:r>
    <w:r w:rsidR="003B39E9">
      <w:rPr>
        <w:rFonts w:ascii="Arial" w:hAnsi="Arial" w:cs="Arial"/>
        <w:b/>
        <w:sz w:val="28"/>
      </w:rPr>
      <w:t>ng</w:t>
    </w:r>
    <w:r>
      <w:rPr>
        <w:rFonts w:ascii="Arial" w:hAnsi="Arial" w:cs="Arial"/>
        <w:b/>
        <w:sz w:val="28"/>
      </w:rPr>
      <w:t xml:space="preserve"> </w:t>
    </w:r>
    <w:r w:rsidR="003B39E9">
      <w:rPr>
        <w:rFonts w:ascii="Arial" w:hAnsi="Arial" w:cs="Arial"/>
        <w:b/>
        <w:sz w:val="28"/>
      </w:rPr>
      <w:t>with</w:t>
    </w:r>
    <w:r>
      <w:rPr>
        <w:rFonts w:ascii="Arial" w:hAnsi="Arial" w:cs="Arial"/>
        <w:b/>
        <w:sz w:val="28"/>
      </w:rPr>
      <w:t xml:space="preserve"> Bloom’s Taxonomy</w:t>
    </w:r>
  </w:p>
  <w:p w14:paraId="279D184E" w14:textId="77777777" w:rsidR="003802DD" w:rsidRDefault="003802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DD"/>
    <w:rsid w:val="001D5CD5"/>
    <w:rsid w:val="003802DD"/>
    <w:rsid w:val="003B39E9"/>
    <w:rsid w:val="005154D5"/>
    <w:rsid w:val="006E621A"/>
    <w:rsid w:val="00967AEE"/>
    <w:rsid w:val="00B00D9D"/>
    <w:rsid w:val="00B257EB"/>
    <w:rsid w:val="00EE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F6EC6"/>
  <w15:chartTrackingRefBased/>
  <w15:docId w15:val="{D67B0CA8-D793-4B94-BE12-6D25488C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2DD"/>
  </w:style>
  <w:style w:type="paragraph" w:styleId="Footer">
    <w:name w:val="footer"/>
    <w:basedOn w:val="Normal"/>
    <w:link w:val="FooterChar"/>
    <w:uiPriority w:val="99"/>
    <w:unhideWhenUsed/>
    <w:rsid w:val="00380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2DD"/>
  </w:style>
  <w:style w:type="table" w:styleId="TableGrid">
    <w:name w:val="Table Grid"/>
    <w:basedOn w:val="TableNormal"/>
    <w:uiPriority w:val="39"/>
    <w:rsid w:val="0038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39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dfordv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Mehay</dc:creator>
  <cp:keywords/>
  <dc:description/>
  <cp:lastModifiedBy>Ramesh Mehay</cp:lastModifiedBy>
  <cp:revision>1</cp:revision>
  <dcterms:created xsi:type="dcterms:W3CDTF">2018-06-18T21:50:00Z</dcterms:created>
  <dcterms:modified xsi:type="dcterms:W3CDTF">2018-06-18T22:08:00Z</dcterms:modified>
</cp:coreProperties>
</file>