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E97" w:rsidRDefault="000F1DB4" w:rsidP="004E1E97">
      <w:pPr>
        <w:ind w:left="-567" w:right="-501"/>
        <w:jc w:val="center"/>
        <w:rPr>
          <w:rFonts w:asciiTheme="majorHAnsi" w:hAnsiTheme="majorHAnsi"/>
          <w:sz w:val="68"/>
          <w:szCs w:val="68"/>
        </w:rPr>
      </w:pPr>
      <w:r>
        <w:rPr>
          <w:rFonts w:asciiTheme="majorHAnsi" w:hAnsiTheme="majorHAnsi"/>
          <w:b/>
          <w:sz w:val="68"/>
          <w:szCs w:val="68"/>
        </w:rPr>
        <w:t>M</w:t>
      </w:r>
      <w:r w:rsidR="000B22AA" w:rsidRPr="000B22AA">
        <w:rPr>
          <w:rFonts w:asciiTheme="majorHAnsi" w:hAnsiTheme="majorHAnsi"/>
          <w:b/>
          <w:sz w:val="68"/>
          <w:szCs w:val="68"/>
        </w:rPr>
        <w:t>T says:</w:t>
      </w:r>
    </w:p>
    <w:p w:rsidR="000B22AA" w:rsidRPr="000B22AA" w:rsidRDefault="000B22AA" w:rsidP="000B22AA">
      <w:pPr>
        <w:ind w:left="-567" w:right="-501"/>
        <w:rPr>
          <w:rFonts w:asciiTheme="majorHAnsi" w:hAnsiTheme="majorHAnsi"/>
          <w:sz w:val="68"/>
          <w:szCs w:val="68"/>
        </w:rPr>
      </w:pPr>
      <w:r w:rsidRPr="000B22AA">
        <w:rPr>
          <w:rFonts w:asciiTheme="majorHAnsi" w:hAnsiTheme="majorHAnsi"/>
          <w:sz w:val="68"/>
          <w:szCs w:val="68"/>
        </w:rPr>
        <w:t>Challenge people to think in ways which they are not used to.   Learning to be more inquisitive.   Exploring ladders of assumptions.   Exploring Type 1 and Type 2 thinking: demonstrations about what we see and how we choose to see certain things and ignore other bits.  Some of us are trained only to ask about what we are meant to ask about – the ‘medicine’ in the day’s work rather than the full picture of it.   The threshold that each person has to get over to enter this phase of thinking is different for each trainee.</w:t>
      </w:r>
    </w:p>
    <w:p w:rsidR="004E1E97" w:rsidRDefault="000B22AA" w:rsidP="004E1E97">
      <w:pPr>
        <w:spacing w:after="160" w:line="259" w:lineRule="auto"/>
        <w:ind w:left="-567" w:right="-448"/>
        <w:jc w:val="center"/>
        <w:rPr>
          <w:rFonts w:asciiTheme="majorHAnsi" w:hAnsiTheme="majorHAnsi"/>
          <w:sz w:val="52"/>
          <w:szCs w:val="52"/>
        </w:rPr>
      </w:pPr>
      <w:r>
        <w:rPr>
          <w:rFonts w:asciiTheme="majorHAnsi" w:hAnsiTheme="majorHAnsi"/>
          <w:sz w:val="64"/>
          <w:szCs w:val="64"/>
        </w:rPr>
        <w:br w:type="page"/>
      </w:r>
      <w:r w:rsidR="000F1DB4">
        <w:rPr>
          <w:rFonts w:asciiTheme="majorHAnsi" w:hAnsiTheme="majorHAnsi"/>
          <w:b/>
          <w:sz w:val="52"/>
          <w:szCs w:val="52"/>
        </w:rPr>
        <w:lastRenderedPageBreak/>
        <w:t>L</w:t>
      </w:r>
      <w:r w:rsidRPr="000B22AA">
        <w:rPr>
          <w:rFonts w:asciiTheme="majorHAnsi" w:hAnsiTheme="majorHAnsi"/>
          <w:b/>
          <w:sz w:val="52"/>
          <w:szCs w:val="52"/>
        </w:rPr>
        <w:t>C says:</w:t>
      </w:r>
    </w:p>
    <w:p w:rsidR="000B22AA" w:rsidRPr="000B22AA" w:rsidRDefault="000B22AA" w:rsidP="000B22AA">
      <w:pPr>
        <w:spacing w:after="160" w:line="259" w:lineRule="auto"/>
        <w:ind w:left="-567" w:right="-448"/>
        <w:rPr>
          <w:rFonts w:asciiTheme="majorHAnsi" w:hAnsiTheme="majorHAnsi"/>
          <w:sz w:val="52"/>
          <w:szCs w:val="52"/>
        </w:rPr>
      </w:pPr>
      <w:r w:rsidRPr="000B22AA">
        <w:rPr>
          <w:rFonts w:asciiTheme="majorHAnsi" w:hAnsiTheme="majorHAnsi"/>
          <w:sz w:val="52"/>
          <w:szCs w:val="52"/>
        </w:rPr>
        <w:t xml:space="preserve">The process has to start with challenging the would-be learner.  To engage or interest, you have to first create interest and engagement.  The easiest way to do this is to challenge what they have as preconceptions – use that as a starting point and travel from their using experiences on the way – like difficult consultations, something difficult in their personal life and generalise away from their (like getting a 7 y old to eat their veg!).  Decision making – where to have </w:t>
      </w:r>
      <w:proofErr w:type="spellStart"/>
      <w:proofErr w:type="gramStart"/>
      <w:r w:rsidRPr="000B22AA">
        <w:rPr>
          <w:rFonts w:asciiTheme="majorHAnsi" w:hAnsiTheme="majorHAnsi"/>
          <w:sz w:val="52"/>
          <w:szCs w:val="52"/>
        </w:rPr>
        <w:t>xmas</w:t>
      </w:r>
      <w:proofErr w:type="spellEnd"/>
      <w:proofErr w:type="gramEnd"/>
      <w:r w:rsidRPr="000B22AA">
        <w:rPr>
          <w:rFonts w:asciiTheme="majorHAnsi" w:hAnsiTheme="majorHAnsi"/>
          <w:sz w:val="52"/>
          <w:szCs w:val="52"/>
        </w:rPr>
        <w:t xml:space="preserve"> dinner – at in-laws, parents or home?  Helps us to relate skills to another (perhaps more familiar) environment AND relates learning directly to their own point of reference.  A journey of active discovery which is started by them and one which you help to continuously whet their appetite through exploring their own experiences. Every journey starts with the first step.</w:t>
      </w:r>
    </w:p>
    <w:p w:rsidR="000B22AA" w:rsidRDefault="000B22AA" w:rsidP="000B22AA">
      <w:pPr>
        <w:spacing w:after="160" w:line="259" w:lineRule="auto"/>
        <w:rPr>
          <w:rFonts w:asciiTheme="majorHAnsi" w:hAnsiTheme="majorHAnsi"/>
        </w:rPr>
      </w:pPr>
    </w:p>
    <w:p w:rsidR="000B22AA" w:rsidRDefault="000B22AA" w:rsidP="000B22AA">
      <w:pPr>
        <w:spacing w:after="160" w:line="259" w:lineRule="auto"/>
        <w:rPr>
          <w:rFonts w:asciiTheme="majorHAnsi" w:hAnsiTheme="majorHAnsi"/>
        </w:rPr>
      </w:pPr>
    </w:p>
    <w:p w:rsidR="000B22AA" w:rsidRDefault="000B22AA" w:rsidP="000B22AA">
      <w:pPr>
        <w:spacing w:after="160" w:line="259" w:lineRule="auto"/>
        <w:rPr>
          <w:rFonts w:asciiTheme="majorHAnsi" w:hAnsiTheme="majorHAnsi"/>
        </w:rPr>
      </w:pPr>
    </w:p>
    <w:p w:rsidR="000B22AA" w:rsidRDefault="000B22AA" w:rsidP="000B22AA">
      <w:pPr>
        <w:spacing w:after="160" w:line="259" w:lineRule="auto"/>
        <w:rPr>
          <w:rFonts w:asciiTheme="majorHAnsi" w:hAnsiTheme="majorHAnsi"/>
        </w:rPr>
      </w:pPr>
    </w:p>
    <w:p w:rsidR="004E1E97" w:rsidRDefault="000F1DB4" w:rsidP="004E1E97">
      <w:pPr>
        <w:spacing w:after="160" w:line="259" w:lineRule="auto"/>
        <w:jc w:val="center"/>
        <w:rPr>
          <w:rFonts w:asciiTheme="majorHAnsi" w:hAnsiTheme="majorHAnsi"/>
          <w:sz w:val="72"/>
          <w:szCs w:val="72"/>
        </w:rPr>
      </w:pPr>
      <w:r>
        <w:rPr>
          <w:rFonts w:asciiTheme="majorHAnsi" w:hAnsiTheme="majorHAnsi"/>
          <w:b/>
          <w:sz w:val="72"/>
          <w:szCs w:val="72"/>
        </w:rPr>
        <w:t>D</w:t>
      </w:r>
      <w:r w:rsidR="000B22AA" w:rsidRPr="000B22AA">
        <w:rPr>
          <w:rFonts w:asciiTheme="majorHAnsi" w:hAnsiTheme="majorHAnsi"/>
          <w:b/>
          <w:sz w:val="72"/>
          <w:szCs w:val="72"/>
        </w:rPr>
        <w:t>T says:</w:t>
      </w:r>
    </w:p>
    <w:p w:rsidR="000B22AA" w:rsidRPr="000B22AA" w:rsidRDefault="000B22AA" w:rsidP="000B22AA">
      <w:pPr>
        <w:spacing w:after="160" w:line="259" w:lineRule="auto"/>
        <w:rPr>
          <w:rFonts w:asciiTheme="majorHAnsi" w:hAnsiTheme="majorHAnsi"/>
        </w:rPr>
      </w:pPr>
      <w:r w:rsidRPr="000B22AA">
        <w:rPr>
          <w:rFonts w:asciiTheme="majorHAnsi" w:hAnsiTheme="majorHAnsi"/>
          <w:sz w:val="72"/>
          <w:szCs w:val="72"/>
        </w:rPr>
        <w:t>We have to model, model and model!   Enthusiasm and passion rubs off, as does being a miserable old fart.  Medicine is exciting: and GP covers all of medicine and beyond – what is there not to be excited about?</w:t>
      </w:r>
    </w:p>
    <w:p w:rsidR="000B22AA" w:rsidRPr="000B22AA" w:rsidRDefault="000B22AA">
      <w:pPr>
        <w:spacing w:after="160" w:line="259" w:lineRule="auto"/>
        <w:jc w:val="left"/>
        <w:rPr>
          <w:rFonts w:asciiTheme="majorHAnsi" w:hAnsiTheme="majorHAnsi"/>
        </w:rPr>
      </w:pPr>
      <w:r w:rsidRPr="000B22AA">
        <w:rPr>
          <w:rFonts w:asciiTheme="majorHAnsi" w:hAnsiTheme="majorHAnsi"/>
        </w:rPr>
        <w:br w:type="page"/>
      </w:r>
    </w:p>
    <w:p w:rsidR="000B22AA" w:rsidRDefault="000B22AA" w:rsidP="000B22AA">
      <w:pPr>
        <w:rPr>
          <w:rFonts w:asciiTheme="majorHAnsi" w:hAnsiTheme="majorHAnsi"/>
          <w:sz w:val="72"/>
          <w:szCs w:val="72"/>
        </w:rPr>
      </w:pPr>
    </w:p>
    <w:p w:rsidR="000B22AA" w:rsidRDefault="000B22AA" w:rsidP="000B22AA">
      <w:pPr>
        <w:rPr>
          <w:rFonts w:asciiTheme="majorHAnsi" w:hAnsiTheme="majorHAnsi"/>
          <w:sz w:val="72"/>
          <w:szCs w:val="72"/>
        </w:rPr>
      </w:pPr>
    </w:p>
    <w:p w:rsidR="004E1E97" w:rsidRDefault="000F1DB4" w:rsidP="004E1E97">
      <w:pPr>
        <w:jc w:val="center"/>
        <w:rPr>
          <w:rFonts w:asciiTheme="majorHAnsi" w:hAnsiTheme="majorHAnsi"/>
          <w:sz w:val="72"/>
          <w:szCs w:val="72"/>
        </w:rPr>
      </w:pPr>
      <w:r>
        <w:rPr>
          <w:rFonts w:asciiTheme="majorHAnsi" w:hAnsiTheme="majorHAnsi"/>
          <w:b/>
          <w:sz w:val="72"/>
          <w:szCs w:val="72"/>
        </w:rPr>
        <w:t>E</w:t>
      </w:r>
      <w:r w:rsidR="000B22AA" w:rsidRPr="000B22AA">
        <w:rPr>
          <w:rFonts w:asciiTheme="majorHAnsi" w:hAnsiTheme="majorHAnsi"/>
          <w:b/>
          <w:sz w:val="72"/>
          <w:szCs w:val="72"/>
        </w:rPr>
        <w:t>R says:</w:t>
      </w:r>
    </w:p>
    <w:p w:rsidR="000B22AA" w:rsidRPr="000B22AA" w:rsidRDefault="000B22AA" w:rsidP="000B22AA">
      <w:pPr>
        <w:rPr>
          <w:rFonts w:asciiTheme="majorHAnsi" w:hAnsiTheme="majorHAnsi"/>
          <w:sz w:val="72"/>
          <w:szCs w:val="72"/>
        </w:rPr>
      </w:pPr>
      <w:r w:rsidRPr="000B22AA">
        <w:rPr>
          <w:rFonts w:asciiTheme="majorHAnsi" w:hAnsiTheme="majorHAnsi"/>
          <w:sz w:val="72"/>
          <w:szCs w:val="72"/>
        </w:rPr>
        <w:t xml:space="preserve">Think about your methods and tailor them to the individual (Honey &amp; Mumford, VAK style):  PBL, the arts, books and music.  And get them to teach others – the feeling of transcendence.  </w:t>
      </w:r>
    </w:p>
    <w:p w:rsidR="000B22AA" w:rsidRPr="000B22AA" w:rsidRDefault="000B22AA">
      <w:pPr>
        <w:spacing w:after="160" w:line="259" w:lineRule="auto"/>
        <w:jc w:val="left"/>
        <w:rPr>
          <w:rFonts w:asciiTheme="majorHAnsi" w:hAnsiTheme="majorHAnsi"/>
        </w:rPr>
      </w:pPr>
      <w:r w:rsidRPr="000B22AA">
        <w:rPr>
          <w:rFonts w:asciiTheme="majorHAnsi" w:hAnsiTheme="majorHAnsi"/>
        </w:rPr>
        <w:br w:type="page"/>
      </w:r>
    </w:p>
    <w:p w:rsidR="004E1E97" w:rsidRDefault="000F1DB4" w:rsidP="004E1E97">
      <w:pPr>
        <w:jc w:val="center"/>
        <w:rPr>
          <w:rFonts w:asciiTheme="majorHAnsi" w:hAnsiTheme="majorHAnsi"/>
          <w:sz w:val="52"/>
          <w:szCs w:val="52"/>
        </w:rPr>
      </w:pPr>
      <w:r>
        <w:rPr>
          <w:rFonts w:asciiTheme="majorHAnsi" w:hAnsiTheme="majorHAnsi"/>
          <w:b/>
          <w:sz w:val="52"/>
          <w:szCs w:val="52"/>
        </w:rPr>
        <w:lastRenderedPageBreak/>
        <w:t>J</w:t>
      </w:r>
      <w:r w:rsidR="000B22AA" w:rsidRPr="000B22AA">
        <w:rPr>
          <w:rFonts w:asciiTheme="majorHAnsi" w:hAnsiTheme="majorHAnsi"/>
          <w:b/>
          <w:sz w:val="52"/>
          <w:szCs w:val="52"/>
        </w:rPr>
        <w:t>L says:</w:t>
      </w:r>
    </w:p>
    <w:p w:rsidR="000B22AA" w:rsidRPr="000B22AA" w:rsidRDefault="000B22AA" w:rsidP="000B22AA">
      <w:pPr>
        <w:rPr>
          <w:rFonts w:asciiTheme="majorHAnsi" w:hAnsiTheme="majorHAnsi"/>
          <w:sz w:val="52"/>
          <w:szCs w:val="52"/>
        </w:rPr>
      </w:pPr>
      <w:r w:rsidRPr="000B22AA">
        <w:rPr>
          <w:rFonts w:asciiTheme="majorHAnsi" w:hAnsiTheme="majorHAnsi"/>
          <w:sz w:val="52"/>
          <w:szCs w:val="52"/>
        </w:rPr>
        <w:t xml:space="preserve">What we need to teach is what matters.  As experienced doctors, most of know what matters.  But we were taught ‘what matters’ by other experienced doctors before us.  And for most of us, a lot of it went in one ear and out of the other.  But it is only when we are in a stressful situation of needing an answer to an impossible problem that one re-discovers what they grey haired doctor said, and what they really meant by that.   </w:t>
      </w:r>
    </w:p>
    <w:p w:rsidR="000B22AA" w:rsidRPr="000B22AA" w:rsidRDefault="000B22AA" w:rsidP="000B22AA">
      <w:pPr>
        <w:rPr>
          <w:rFonts w:asciiTheme="majorHAnsi" w:hAnsiTheme="majorHAnsi"/>
          <w:sz w:val="52"/>
          <w:szCs w:val="52"/>
        </w:rPr>
      </w:pPr>
      <w:r w:rsidRPr="000B22AA">
        <w:rPr>
          <w:rFonts w:asciiTheme="majorHAnsi" w:hAnsiTheme="majorHAnsi"/>
          <w:sz w:val="52"/>
          <w:szCs w:val="52"/>
        </w:rPr>
        <w:t xml:space="preserve">So, what does all of this mean?  It means we need to use difficult experience to help teach what matters.  You can’t teach on what matters without any foundation to build it on.  A project on </w:t>
      </w:r>
      <w:proofErr w:type="spellStart"/>
      <w:r w:rsidRPr="000B22AA">
        <w:rPr>
          <w:rFonts w:asciiTheme="majorHAnsi" w:hAnsiTheme="majorHAnsi"/>
          <w:sz w:val="52"/>
          <w:szCs w:val="52"/>
        </w:rPr>
        <w:t>QoF</w:t>
      </w:r>
      <w:proofErr w:type="spellEnd"/>
      <w:r w:rsidRPr="000B22AA">
        <w:rPr>
          <w:rFonts w:asciiTheme="majorHAnsi" w:hAnsiTheme="majorHAnsi"/>
          <w:sz w:val="52"/>
          <w:szCs w:val="52"/>
        </w:rPr>
        <w:t xml:space="preserve"> or some significant event for the practice might not be the thing that matters to the learner who you think the project will be good for.  Problem Based Learning should have a major place – but the learner has to be part of the situational difficulty. </w:t>
      </w:r>
    </w:p>
    <w:p w:rsidR="004E1E97" w:rsidRDefault="000B22AA" w:rsidP="004E1E97">
      <w:pPr>
        <w:spacing w:after="160" w:line="259" w:lineRule="auto"/>
        <w:jc w:val="center"/>
        <w:rPr>
          <w:rFonts w:asciiTheme="majorHAnsi" w:hAnsiTheme="majorHAnsi"/>
          <w:sz w:val="34"/>
          <w:szCs w:val="34"/>
        </w:rPr>
      </w:pPr>
      <w:r w:rsidRPr="000B22AA">
        <w:rPr>
          <w:rFonts w:asciiTheme="majorHAnsi" w:hAnsiTheme="majorHAnsi"/>
        </w:rPr>
        <w:br w:type="page"/>
      </w:r>
      <w:r w:rsidR="000F1DB4">
        <w:rPr>
          <w:rFonts w:asciiTheme="majorHAnsi" w:hAnsiTheme="majorHAnsi"/>
          <w:b/>
          <w:sz w:val="34"/>
          <w:szCs w:val="34"/>
        </w:rPr>
        <w:lastRenderedPageBreak/>
        <w:t>J</w:t>
      </w:r>
      <w:r w:rsidRPr="000B22AA">
        <w:rPr>
          <w:rFonts w:asciiTheme="majorHAnsi" w:hAnsiTheme="majorHAnsi"/>
          <w:b/>
          <w:sz w:val="34"/>
          <w:szCs w:val="34"/>
        </w:rPr>
        <w:t>K says:</w:t>
      </w:r>
    </w:p>
    <w:p w:rsidR="000B22AA" w:rsidRPr="000B22AA" w:rsidRDefault="000B22AA" w:rsidP="000B22AA">
      <w:pPr>
        <w:spacing w:after="160" w:line="259" w:lineRule="auto"/>
        <w:rPr>
          <w:rFonts w:asciiTheme="majorHAnsi" w:hAnsiTheme="majorHAnsi"/>
          <w:sz w:val="34"/>
          <w:szCs w:val="34"/>
        </w:rPr>
      </w:pPr>
      <w:r w:rsidRPr="000B22AA">
        <w:rPr>
          <w:rFonts w:asciiTheme="majorHAnsi" w:hAnsiTheme="majorHAnsi"/>
          <w:sz w:val="34"/>
          <w:szCs w:val="34"/>
        </w:rPr>
        <w:t xml:space="preserve">We need to keep up with technology because some of it is mind </w:t>
      </w:r>
      <w:proofErr w:type="spellStart"/>
      <w:r w:rsidRPr="000B22AA">
        <w:rPr>
          <w:rFonts w:asciiTheme="majorHAnsi" w:hAnsiTheme="majorHAnsi"/>
          <w:sz w:val="34"/>
          <w:szCs w:val="34"/>
        </w:rPr>
        <w:t>blowingly</w:t>
      </w:r>
      <w:proofErr w:type="spellEnd"/>
      <w:r w:rsidRPr="000B22AA">
        <w:rPr>
          <w:rFonts w:asciiTheme="majorHAnsi" w:hAnsiTheme="majorHAnsi"/>
          <w:sz w:val="34"/>
          <w:szCs w:val="34"/>
        </w:rPr>
        <w:t xml:space="preserve"> fascinating and keeps you hooked in – things like podcasts and </w:t>
      </w:r>
      <w:proofErr w:type="spellStart"/>
      <w:r w:rsidRPr="000B22AA">
        <w:rPr>
          <w:rFonts w:asciiTheme="majorHAnsi" w:hAnsiTheme="majorHAnsi"/>
          <w:sz w:val="34"/>
          <w:szCs w:val="34"/>
        </w:rPr>
        <w:t>vodcasts</w:t>
      </w:r>
      <w:proofErr w:type="spellEnd"/>
      <w:r w:rsidRPr="000B22AA">
        <w:rPr>
          <w:rFonts w:asciiTheme="majorHAnsi" w:hAnsiTheme="majorHAnsi"/>
          <w:sz w:val="34"/>
          <w:szCs w:val="34"/>
        </w:rPr>
        <w:t xml:space="preserve"> which aren’t terribly difficult to do (but are extremely engaging when done well).   Anne-Marie Cunningham has some great stuff on using twitter and other social media platforms for learning.  See ECG class on Twitter – excellent.   Team Haem – interesting too.</w:t>
      </w:r>
    </w:p>
    <w:p w:rsidR="000B22AA" w:rsidRPr="000B22AA" w:rsidRDefault="000B22AA" w:rsidP="000B22AA">
      <w:pPr>
        <w:rPr>
          <w:rFonts w:asciiTheme="majorHAnsi" w:hAnsiTheme="majorHAnsi"/>
          <w:sz w:val="34"/>
          <w:szCs w:val="34"/>
        </w:rPr>
      </w:pPr>
      <w:r w:rsidRPr="000B22AA">
        <w:rPr>
          <w:rFonts w:asciiTheme="majorHAnsi" w:hAnsiTheme="majorHAnsi"/>
          <w:sz w:val="34"/>
          <w:szCs w:val="34"/>
        </w:rPr>
        <w:t xml:space="preserve">Learning happens WITH others, not in isolation.  Therefore, we need to move away from the concept of the learner as an individual and move towards the learner as part of formal and informal learning communities – other trainees, social networks, virtual networks and Communities of Practice (search this phrase on the internet to read more).  Remember, there is no such thing as the Universal Truth – but that truth (or knowledge) is a </w:t>
      </w:r>
      <w:r w:rsidRPr="000B22AA">
        <w:rPr>
          <w:rFonts w:asciiTheme="majorHAnsi" w:hAnsiTheme="majorHAnsi"/>
          <w:b/>
          <w:sz w:val="34"/>
          <w:szCs w:val="34"/>
        </w:rPr>
        <w:t>socially</w:t>
      </w:r>
      <w:r w:rsidRPr="000B22AA">
        <w:rPr>
          <w:rFonts w:asciiTheme="majorHAnsi" w:hAnsiTheme="majorHAnsi"/>
          <w:sz w:val="34"/>
          <w:szCs w:val="34"/>
        </w:rPr>
        <w:t xml:space="preserve"> negotiated construct.  If the ‘social’ bit is missing, how can one derive the truth?</w:t>
      </w:r>
    </w:p>
    <w:p w:rsidR="000B22AA" w:rsidRPr="000B22AA" w:rsidRDefault="000B22AA" w:rsidP="000B22AA">
      <w:pPr>
        <w:rPr>
          <w:rFonts w:asciiTheme="majorHAnsi" w:hAnsiTheme="majorHAnsi"/>
          <w:sz w:val="34"/>
          <w:szCs w:val="34"/>
        </w:rPr>
      </w:pPr>
      <w:r w:rsidRPr="000B22AA">
        <w:rPr>
          <w:rFonts w:asciiTheme="majorHAnsi" w:hAnsiTheme="majorHAnsi"/>
          <w:sz w:val="34"/>
          <w:szCs w:val="34"/>
        </w:rPr>
        <w:t>As for the Curriculum – think outside the box!  You don’t have to deliver to the curriculum – there are numerous e-modules and e-learning material for that sort of stuff.  Teach the stuff that matters – that won’t change too much over time, that inspire us to be an active part of our profession.  For example, being a diabetic for a week, watching the film Iris (dementia) and exploring our emotions, attending faculty board meetings or a local charity group like Alzheimer’s Together and thinking about what’s missing in local provision as it currently stands and then writing a proposal to the CCG.</w:t>
      </w:r>
    </w:p>
    <w:p w:rsidR="000B22AA" w:rsidRPr="000B22AA" w:rsidRDefault="000B22AA" w:rsidP="000B22AA">
      <w:pPr>
        <w:rPr>
          <w:rFonts w:asciiTheme="majorHAnsi" w:hAnsiTheme="majorHAnsi"/>
          <w:sz w:val="34"/>
          <w:szCs w:val="34"/>
        </w:rPr>
      </w:pPr>
      <w:r w:rsidRPr="000B22AA">
        <w:rPr>
          <w:rFonts w:asciiTheme="majorHAnsi" w:hAnsiTheme="majorHAnsi"/>
          <w:sz w:val="34"/>
          <w:szCs w:val="34"/>
        </w:rPr>
        <w:t>Tutorials should not be about sitting and absorbing the management pathway for AF.  You should be getting up, being active and getting out there to see what’s going on, broaden our minds and hopefully make a difference or a contribution both internally to ourselves and externally to others around us.</w:t>
      </w:r>
    </w:p>
    <w:p w:rsidR="004E1E97" w:rsidRDefault="000B22AA" w:rsidP="004E1E97">
      <w:pPr>
        <w:spacing w:after="160" w:line="259" w:lineRule="auto"/>
        <w:jc w:val="center"/>
        <w:rPr>
          <w:rFonts w:asciiTheme="majorHAnsi" w:hAnsiTheme="majorHAnsi"/>
          <w:sz w:val="56"/>
        </w:rPr>
      </w:pPr>
      <w:r w:rsidRPr="000B22AA">
        <w:rPr>
          <w:rFonts w:asciiTheme="majorHAnsi" w:hAnsiTheme="majorHAnsi"/>
        </w:rPr>
        <w:br w:type="page"/>
      </w:r>
      <w:r>
        <w:rPr>
          <w:rFonts w:asciiTheme="majorHAnsi" w:hAnsiTheme="majorHAnsi"/>
        </w:rPr>
        <w:lastRenderedPageBreak/>
        <w:br/>
      </w:r>
      <w:r>
        <w:rPr>
          <w:rFonts w:asciiTheme="majorHAnsi" w:hAnsiTheme="majorHAnsi"/>
        </w:rPr>
        <w:br/>
      </w:r>
      <w:r>
        <w:rPr>
          <w:rFonts w:asciiTheme="majorHAnsi" w:hAnsiTheme="majorHAnsi"/>
        </w:rPr>
        <w:br/>
      </w:r>
      <w:r>
        <w:rPr>
          <w:rFonts w:asciiTheme="majorHAnsi" w:hAnsiTheme="majorHAnsi"/>
        </w:rPr>
        <w:br/>
      </w:r>
      <w:r>
        <w:rPr>
          <w:rFonts w:asciiTheme="majorHAnsi" w:hAnsiTheme="majorHAnsi"/>
        </w:rPr>
        <w:br/>
      </w:r>
      <w:r>
        <w:rPr>
          <w:rFonts w:asciiTheme="majorHAnsi" w:hAnsiTheme="majorHAnsi"/>
        </w:rPr>
        <w:br/>
      </w:r>
      <w:r>
        <w:rPr>
          <w:rFonts w:asciiTheme="majorHAnsi" w:hAnsiTheme="majorHAnsi"/>
        </w:rPr>
        <w:br/>
      </w:r>
      <w:r>
        <w:rPr>
          <w:rFonts w:asciiTheme="majorHAnsi" w:hAnsiTheme="majorHAnsi"/>
        </w:rPr>
        <w:br/>
      </w:r>
      <w:r>
        <w:rPr>
          <w:rFonts w:asciiTheme="majorHAnsi" w:hAnsiTheme="majorHAnsi"/>
        </w:rPr>
        <w:br/>
      </w:r>
      <w:r w:rsidR="000F1DB4">
        <w:rPr>
          <w:rFonts w:asciiTheme="majorHAnsi" w:hAnsiTheme="majorHAnsi"/>
          <w:b/>
          <w:sz w:val="56"/>
        </w:rPr>
        <w:t>N</w:t>
      </w:r>
      <w:r w:rsidRPr="000B22AA">
        <w:rPr>
          <w:rFonts w:asciiTheme="majorHAnsi" w:hAnsiTheme="majorHAnsi"/>
          <w:b/>
          <w:sz w:val="56"/>
        </w:rPr>
        <w:t>P</w:t>
      </w:r>
      <w:r w:rsidR="004E1E97">
        <w:rPr>
          <w:rFonts w:asciiTheme="majorHAnsi" w:hAnsiTheme="majorHAnsi"/>
          <w:b/>
          <w:sz w:val="56"/>
        </w:rPr>
        <w:t xml:space="preserve"> says</w:t>
      </w:r>
      <w:r w:rsidRPr="000B22AA">
        <w:rPr>
          <w:rFonts w:asciiTheme="majorHAnsi" w:hAnsiTheme="majorHAnsi"/>
          <w:b/>
          <w:sz w:val="56"/>
        </w:rPr>
        <w:t>:</w:t>
      </w:r>
    </w:p>
    <w:p w:rsidR="000B22AA" w:rsidRPr="000B22AA" w:rsidRDefault="000B22AA" w:rsidP="000B22AA">
      <w:pPr>
        <w:spacing w:after="160" w:line="259" w:lineRule="auto"/>
        <w:rPr>
          <w:rFonts w:asciiTheme="majorHAnsi" w:hAnsiTheme="majorHAnsi"/>
        </w:rPr>
      </w:pPr>
      <w:r w:rsidRPr="000B22AA">
        <w:rPr>
          <w:rFonts w:asciiTheme="majorHAnsi" w:hAnsiTheme="majorHAnsi"/>
          <w:sz w:val="56"/>
        </w:rPr>
        <w:t>What matters more than any</w:t>
      </w:r>
      <w:bookmarkStart w:id="0" w:name="_GoBack"/>
      <w:bookmarkEnd w:id="0"/>
      <w:r w:rsidRPr="000B22AA">
        <w:rPr>
          <w:rFonts w:asciiTheme="majorHAnsi" w:hAnsiTheme="majorHAnsi"/>
          <w:sz w:val="56"/>
        </w:rPr>
        <w:t>thing else is the ‘therapeutic relationship’ between trainer and trainee.   Get to know the GP trainee, their motivations, their interests, their perspectives, their learning styles – or in a nutshell, just their lives.</w:t>
      </w:r>
    </w:p>
    <w:p w:rsidR="00E474B9" w:rsidRPr="000B22AA" w:rsidRDefault="00E474B9">
      <w:pPr>
        <w:rPr>
          <w:rFonts w:asciiTheme="majorHAnsi" w:hAnsiTheme="majorHAnsi"/>
        </w:rPr>
      </w:pPr>
    </w:p>
    <w:sectPr w:rsidR="00E474B9" w:rsidRPr="000B22AA" w:rsidSect="004E1E97">
      <w:pgSz w:w="16838" w:h="11906" w:orient="landscape"/>
      <w:pgMar w:top="851" w:right="1531"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2AA"/>
    <w:rsid w:val="000B22AA"/>
    <w:rsid w:val="000F1DB4"/>
    <w:rsid w:val="004E1E97"/>
    <w:rsid w:val="008204B5"/>
    <w:rsid w:val="00E474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FF3B28-E65F-4D57-979E-40245D55B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22AA"/>
    <w:pPr>
      <w:spacing w:after="120" w:line="240" w:lineRule="auto"/>
      <w:jc w:val="both"/>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22A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22AA"/>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7</Pages>
  <Words>721</Words>
  <Characters>4112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cp:lastPrinted>2014-06-25T23:27:00Z</cp:lastPrinted>
  <dcterms:created xsi:type="dcterms:W3CDTF">2014-04-02T18:15:00Z</dcterms:created>
  <dcterms:modified xsi:type="dcterms:W3CDTF">2014-07-08T12:08:00Z</dcterms:modified>
</cp:coreProperties>
</file>